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1A" w:rsidRDefault="00B5481A" w:rsidP="006B6D0C">
      <w:pPr>
        <w:spacing w:beforeLines="0" w:afterLines="0"/>
        <w:jc w:val="center"/>
        <w:rPr>
          <w:rFonts w:ascii="標楷體" w:eastAsia="標楷體" w:hAnsi="標楷體"/>
          <w:sz w:val="52"/>
          <w:szCs w:val="52"/>
        </w:rPr>
      </w:pPr>
    </w:p>
    <w:p w:rsidR="00B5481A" w:rsidRDefault="00B5481A" w:rsidP="006B6D0C">
      <w:pPr>
        <w:spacing w:beforeLines="0" w:afterLines="0"/>
        <w:jc w:val="center"/>
        <w:rPr>
          <w:rFonts w:ascii="標楷體" w:eastAsia="標楷體" w:hAnsi="標楷體"/>
          <w:sz w:val="52"/>
          <w:szCs w:val="52"/>
        </w:rPr>
      </w:pPr>
    </w:p>
    <w:p w:rsidR="00B5481A" w:rsidRDefault="00B5481A" w:rsidP="006B6D0C">
      <w:pPr>
        <w:spacing w:beforeLines="0" w:afterLines="0"/>
        <w:jc w:val="center"/>
        <w:rPr>
          <w:rFonts w:ascii="標楷體" w:eastAsia="標楷體" w:hAnsi="標楷體"/>
          <w:sz w:val="52"/>
          <w:szCs w:val="52"/>
        </w:rPr>
      </w:pPr>
    </w:p>
    <w:p w:rsidR="00C146D0" w:rsidRPr="00B5481A" w:rsidRDefault="00B5481A" w:rsidP="006B6D0C">
      <w:pPr>
        <w:spacing w:beforeLines="0" w:afterLines="0"/>
        <w:jc w:val="center"/>
        <w:rPr>
          <w:rFonts w:ascii="標楷體" w:eastAsia="標楷體" w:hAnsi="標楷體"/>
          <w:sz w:val="52"/>
          <w:szCs w:val="52"/>
        </w:rPr>
      </w:pPr>
      <w:r w:rsidRPr="00B5481A">
        <w:rPr>
          <w:rFonts w:ascii="標楷體" w:eastAsia="標楷體" w:hAnsi="標楷體" w:hint="eastAsia"/>
          <w:sz w:val="52"/>
          <w:szCs w:val="52"/>
        </w:rPr>
        <w:t>「產業分析統計資訊」</w:t>
      </w:r>
    </w:p>
    <w:p w:rsidR="00B5481A" w:rsidRDefault="00B5481A" w:rsidP="006B6D0C">
      <w:pPr>
        <w:spacing w:beforeLines="0" w:afterLines="0"/>
        <w:jc w:val="center"/>
        <w:rPr>
          <w:rFonts w:ascii="標楷體" w:eastAsia="標楷體" w:hAnsi="標楷體"/>
          <w:sz w:val="44"/>
          <w:szCs w:val="44"/>
        </w:rPr>
      </w:pPr>
      <w:r w:rsidRPr="00B5481A">
        <w:rPr>
          <w:rFonts w:ascii="標楷體" w:eastAsia="標楷體" w:hAnsi="標楷體" w:hint="eastAsia"/>
          <w:sz w:val="44"/>
          <w:szCs w:val="44"/>
        </w:rPr>
        <w:t>資</w:t>
      </w:r>
      <w:r w:rsidR="006654E8">
        <w:rPr>
          <w:rFonts w:ascii="標楷體" w:eastAsia="標楷體" w:hAnsi="標楷體" w:hint="eastAsia"/>
          <w:sz w:val="44"/>
          <w:szCs w:val="44"/>
        </w:rPr>
        <w:t>訊</w:t>
      </w:r>
      <w:r w:rsidRPr="00B5481A">
        <w:rPr>
          <w:rFonts w:ascii="標楷體" w:eastAsia="標楷體" w:hAnsi="標楷體" w:hint="eastAsia"/>
          <w:sz w:val="44"/>
          <w:szCs w:val="44"/>
        </w:rPr>
        <w:t>內容說明</w:t>
      </w:r>
    </w:p>
    <w:p w:rsidR="00B5481A" w:rsidRDefault="00B5481A" w:rsidP="006B6D0C">
      <w:pPr>
        <w:spacing w:beforeLines="0" w:afterLines="0"/>
        <w:jc w:val="center"/>
        <w:rPr>
          <w:rFonts w:ascii="標楷體" w:eastAsia="標楷體" w:hAnsi="標楷體"/>
          <w:sz w:val="44"/>
          <w:szCs w:val="44"/>
        </w:rPr>
      </w:pPr>
    </w:p>
    <w:p w:rsidR="00B5481A" w:rsidRDefault="00B5481A" w:rsidP="006B6D0C">
      <w:pPr>
        <w:spacing w:beforeLines="0" w:afterLines="0"/>
        <w:jc w:val="center"/>
        <w:rPr>
          <w:rFonts w:ascii="標楷體" w:eastAsia="標楷體" w:hAnsi="標楷體"/>
          <w:sz w:val="44"/>
          <w:szCs w:val="44"/>
        </w:rPr>
      </w:pPr>
    </w:p>
    <w:p w:rsidR="00B5481A" w:rsidRDefault="00B5481A" w:rsidP="006B6D0C">
      <w:pPr>
        <w:spacing w:beforeLines="0" w:afterLines="0"/>
        <w:jc w:val="center"/>
        <w:rPr>
          <w:rFonts w:ascii="標楷體" w:eastAsia="標楷體" w:hAnsi="標楷體"/>
          <w:sz w:val="44"/>
          <w:szCs w:val="44"/>
        </w:rPr>
      </w:pPr>
    </w:p>
    <w:p w:rsidR="00814C66" w:rsidRDefault="00814C66" w:rsidP="006B6D0C">
      <w:pPr>
        <w:spacing w:beforeLines="0" w:afterLines="0"/>
        <w:jc w:val="center"/>
        <w:rPr>
          <w:rFonts w:ascii="標楷體" w:eastAsia="標楷體" w:hAnsi="標楷體"/>
          <w:sz w:val="44"/>
          <w:szCs w:val="44"/>
        </w:rPr>
      </w:pPr>
    </w:p>
    <w:p w:rsidR="00814C66" w:rsidRDefault="00814C66" w:rsidP="006B6D0C">
      <w:pPr>
        <w:spacing w:beforeLines="0" w:afterLines="0"/>
        <w:jc w:val="center"/>
        <w:rPr>
          <w:rFonts w:ascii="標楷體" w:eastAsia="標楷體" w:hAnsi="標楷體"/>
          <w:sz w:val="44"/>
          <w:szCs w:val="44"/>
        </w:rPr>
      </w:pPr>
    </w:p>
    <w:p w:rsidR="00814C66" w:rsidRDefault="00814C66" w:rsidP="006B6D0C">
      <w:pPr>
        <w:spacing w:beforeLines="0" w:afterLines="0"/>
        <w:jc w:val="center"/>
        <w:rPr>
          <w:rFonts w:ascii="標楷體" w:eastAsia="標楷體" w:hAnsi="標楷體"/>
          <w:sz w:val="44"/>
          <w:szCs w:val="44"/>
        </w:rPr>
      </w:pPr>
    </w:p>
    <w:p w:rsidR="00814C66" w:rsidRPr="00814C66" w:rsidRDefault="00814C66" w:rsidP="006B6D0C">
      <w:pPr>
        <w:spacing w:beforeLines="0" w:afterLines="0"/>
        <w:jc w:val="center"/>
        <w:rPr>
          <w:rFonts w:ascii="標楷體" w:eastAsia="標楷體" w:hAnsi="標楷體"/>
          <w:sz w:val="44"/>
          <w:szCs w:val="44"/>
        </w:rPr>
      </w:pPr>
    </w:p>
    <w:p w:rsidR="00B5481A" w:rsidRDefault="00B5481A" w:rsidP="006B6D0C">
      <w:pPr>
        <w:spacing w:beforeLines="0" w:afterLines="0"/>
        <w:jc w:val="center"/>
        <w:rPr>
          <w:rFonts w:ascii="標楷體" w:eastAsia="標楷體" w:hAnsi="標楷體"/>
          <w:sz w:val="44"/>
          <w:szCs w:val="44"/>
        </w:rPr>
      </w:pPr>
    </w:p>
    <w:p w:rsidR="00B5481A" w:rsidRDefault="00B5481A" w:rsidP="006B6D0C">
      <w:pPr>
        <w:spacing w:beforeLines="0" w:afterLines="0"/>
        <w:jc w:val="center"/>
        <w:rPr>
          <w:rFonts w:ascii="標楷體" w:eastAsia="標楷體" w:hAnsi="標楷體"/>
          <w:sz w:val="44"/>
          <w:szCs w:val="44"/>
        </w:rPr>
      </w:pPr>
    </w:p>
    <w:p w:rsidR="00B5481A" w:rsidRDefault="00B5481A" w:rsidP="006B6D0C">
      <w:pPr>
        <w:widowControl/>
        <w:spacing w:beforeLines="0" w:afterLines="0" w:line="360" w:lineRule="auto"/>
        <w:contextualSpacing/>
        <w:jc w:val="center"/>
        <w:rPr>
          <w:rFonts w:eastAsia="標楷體"/>
          <w:sz w:val="36"/>
          <w:szCs w:val="32"/>
        </w:rPr>
      </w:pPr>
      <w:r>
        <w:rPr>
          <w:rFonts w:eastAsia="標楷體" w:hint="eastAsia"/>
          <w:sz w:val="36"/>
          <w:szCs w:val="32"/>
        </w:rPr>
        <w:t>財團法人金融聯合徵信中心</w:t>
      </w:r>
    </w:p>
    <w:p w:rsidR="006B6D0C" w:rsidRPr="00814C66" w:rsidRDefault="00E83285" w:rsidP="00814C66">
      <w:pPr>
        <w:widowControl/>
        <w:spacing w:beforeLines="0" w:afterLines="0" w:line="360" w:lineRule="auto"/>
        <w:contextualSpacing/>
        <w:jc w:val="center"/>
        <w:rPr>
          <w:rFonts w:eastAsia="標楷體"/>
          <w:sz w:val="36"/>
          <w:szCs w:val="32"/>
        </w:rPr>
      </w:pPr>
      <w:r w:rsidRPr="006C6520">
        <w:rPr>
          <w:rFonts w:eastAsia="標楷體"/>
          <w:sz w:val="36"/>
          <w:szCs w:val="32"/>
        </w:rPr>
        <w:fldChar w:fldCharType="begin"/>
      </w:r>
      <w:r w:rsidR="006C6520" w:rsidRPr="006C6520">
        <w:rPr>
          <w:rFonts w:eastAsia="標楷體"/>
          <w:sz w:val="36"/>
          <w:szCs w:val="32"/>
        </w:rPr>
        <w:instrText xml:space="preserve"> </w:instrText>
      </w:r>
      <w:r w:rsidR="006C6520" w:rsidRPr="006C6520">
        <w:rPr>
          <w:rFonts w:eastAsia="標楷體" w:hint="eastAsia"/>
          <w:sz w:val="36"/>
          <w:szCs w:val="32"/>
        </w:rPr>
        <w:instrText>TIME \@ "EEE</w:instrText>
      </w:r>
      <w:r w:rsidR="006C6520" w:rsidRPr="006C6520">
        <w:rPr>
          <w:rFonts w:eastAsia="標楷體" w:hint="eastAsia"/>
          <w:sz w:val="36"/>
          <w:szCs w:val="32"/>
        </w:rPr>
        <w:instrText>年</w:instrText>
      </w:r>
      <w:r w:rsidR="006C6520" w:rsidRPr="006C6520">
        <w:rPr>
          <w:rFonts w:eastAsia="標楷體" w:hint="eastAsia"/>
          <w:sz w:val="36"/>
          <w:szCs w:val="32"/>
        </w:rPr>
        <w:instrText>O</w:instrText>
      </w:r>
      <w:r w:rsidR="006C6520" w:rsidRPr="006C6520">
        <w:rPr>
          <w:rFonts w:eastAsia="標楷體" w:hint="eastAsia"/>
          <w:sz w:val="36"/>
          <w:szCs w:val="32"/>
        </w:rPr>
        <w:instrText>月</w:instrText>
      </w:r>
      <w:r w:rsidR="006C6520" w:rsidRPr="006C6520">
        <w:rPr>
          <w:rFonts w:eastAsia="標楷體" w:hint="eastAsia"/>
          <w:sz w:val="36"/>
          <w:szCs w:val="32"/>
        </w:rPr>
        <w:instrText>A</w:instrText>
      </w:r>
      <w:r w:rsidR="006C6520" w:rsidRPr="006C6520">
        <w:rPr>
          <w:rFonts w:eastAsia="標楷體" w:hint="eastAsia"/>
          <w:sz w:val="36"/>
          <w:szCs w:val="32"/>
        </w:rPr>
        <w:instrText>日</w:instrText>
      </w:r>
      <w:r w:rsidR="006C6520" w:rsidRPr="006C6520">
        <w:rPr>
          <w:rFonts w:eastAsia="標楷體" w:hint="eastAsia"/>
          <w:sz w:val="36"/>
          <w:szCs w:val="32"/>
        </w:rPr>
        <w:instrText>"</w:instrText>
      </w:r>
      <w:r w:rsidR="006C6520" w:rsidRPr="006C6520">
        <w:rPr>
          <w:rFonts w:eastAsia="標楷體"/>
          <w:sz w:val="36"/>
          <w:szCs w:val="32"/>
        </w:rPr>
        <w:instrText xml:space="preserve"> </w:instrText>
      </w:r>
      <w:r w:rsidRPr="006C6520">
        <w:rPr>
          <w:rFonts w:eastAsia="標楷體"/>
          <w:sz w:val="36"/>
          <w:szCs w:val="32"/>
        </w:rPr>
        <w:fldChar w:fldCharType="separate"/>
      </w:r>
      <w:r w:rsidR="003441D7">
        <w:rPr>
          <w:rFonts w:eastAsia="標楷體" w:hint="eastAsia"/>
          <w:noProof/>
          <w:sz w:val="36"/>
          <w:szCs w:val="32"/>
        </w:rPr>
        <w:t>中華民國一○四年十月七日</w:t>
      </w:r>
      <w:r w:rsidRPr="006C6520">
        <w:rPr>
          <w:rFonts w:eastAsia="標楷體"/>
          <w:sz w:val="36"/>
          <w:szCs w:val="32"/>
        </w:rPr>
        <w:fldChar w:fldCharType="end"/>
      </w:r>
    </w:p>
    <w:p w:rsidR="00814C66" w:rsidRDefault="00814C66" w:rsidP="006B6D0C">
      <w:pPr>
        <w:spacing w:beforeLines="0" w:afterLines="0"/>
        <w:jc w:val="center"/>
        <w:rPr>
          <w:sz w:val="44"/>
          <w:szCs w:val="44"/>
        </w:rPr>
      </w:pPr>
    </w:p>
    <w:p w:rsidR="00814C66" w:rsidRDefault="00814C66" w:rsidP="006B6D0C">
      <w:pPr>
        <w:spacing w:beforeLines="0" w:afterLines="0"/>
        <w:jc w:val="center"/>
        <w:rPr>
          <w:sz w:val="44"/>
          <w:szCs w:val="44"/>
        </w:rPr>
      </w:pPr>
    </w:p>
    <w:p w:rsidR="00814C66" w:rsidRDefault="00814C66" w:rsidP="006B6D0C">
      <w:pPr>
        <w:spacing w:beforeLines="0" w:afterLines="0"/>
        <w:jc w:val="center"/>
        <w:rPr>
          <w:sz w:val="44"/>
          <w:szCs w:val="44"/>
        </w:rPr>
      </w:pPr>
    </w:p>
    <w:sdt>
      <w:sdtPr>
        <w:rPr>
          <w:rFonts w:asciiTheme="minorHAnsi" w:eastAsiaTheme="minorEastAsia" w:hAnsiTheme="minorHAnsi" w:cstheme="minorBidi"/>
          <w:b w:val="0"/>
          <w:bCs w:val="0"/>
          <w:color w:val="auto"/>
          <w:kern w:val="2"/>
          <w:sz w:val="24"/>
          <w:szCs w:val="22"/>
          <w:lang w:val="zh-TW"/>
        </w:rPr>
        <w:id w:val="7218810"/>
        <w:docPartObj>
          <w:docPartGallery w:val="Table of Contents"/>
          <w:docPartUnique/>
        </w:docPartObj>
      </w:sdtPr>
      <w:sdtEndPr>
        <w:rPr>
          <w:lang w:val="en-US"/>
        </w:rPr>
      </w:sdtEndPr>
      <w:sdtContent>
        <w:p w:rsidR="00814C66" w:rsidRPr="00814C66" w:rsidRDefault="00814C66" w:rsidP="00814C66">
          <w:pPr>
            <w:pStyle w:val="ae"/>
            <w:spacing w:before="0" w:line="500" w:lineRule="exact"/>
            <w:jc w:val="center"/>
          </w:pPr>
          <w:r w:rsidRPr="00814C66">
            <w:rPr>
              <w:rFonts w:ascii="標楷體" w:eastAsia="標楷體" w:hAnsi="標楷體"/>
              <w:color w:val="000000" w:themeColor="text1"/>
              <w:sz w:val="32"/>
              <w:szCs w:val="32"/>
              <w:lang w:val="zh-TW"/>
            </w:rPr>
            <w:t>目錄</w:t>
          </w:r>
        </w:p>
        <w:p w:rsidR="009E4E94" w:rsidRDefault="00E83285">
          <w:pPr>
            <w:pStyle w:val="11"/>
            <w:tabs>
              <w:tab w:val="left" w:pos="720"/>
              <w:tab w:val="right" w:leader="dot" w:pos="8296"/>
            </w:tabs>
            <w:rPr>
              <w:noProof/>
              <w:kern w:val="2"/>
              <w:sz w:val="24"/>
            </w:rPr>
          </w:pPr>
          <w:r w:rsidRPr="00E83285">
            <w:rPr>
              <w:sz w:val="28"/>
              <w:szCs w:val="28"/>
            </w:rPr>
            <w:fldChar w:fldCharType="begin"/>
          </w:r>
          <w:r w:rsidR="00814C66" w:rsidRPr="00814C66">
            <w:rPr>
              <w:sz w:val="28"/>
              <w:szCs w:val="28"/>
            </w:rPr>
            <w:instrText xml:space="preserve"> TOC \o "1-3" \h \z \u </w:instrText>
          </w:r>
          <w:r w:rsidRPr="00E83285">
            <w:rPr>
              <w:sz w:val="28"/>
              <w:szCs w:val="28"/>
            </w:rPr>
            <w:fldChar w:fldCharType="separate"/>
          </w:r>
          <w:hyperlink w:anchor="_Toc429750437" w:history="1">
            <w:r w:rsidR="009E4E94" w:rsidRPr="00F719DC">
              <w:rPr>
                <w:rStyle w:val="a8"/>
                <w:rFonts w:ascii="標楷體" w:eastAsia="標楷體" w:hAnsi="標楷體" w:hint="eastAsia"/>
                <w:bCs/>
                <w:noProof/>
              </w:rPr>
              <w:t>壹、</w:t>
            </w:r>
            <w:r w:rsidR="009E4E94">
              <w:rPr>
                <w:noProof/>
                <w:kern w:val="2"/>
                <w:sz w:val="24"/>
              </w:rPr>
              <w:tab/>
            </w:r>
            <w:r w:rsidR="009E4E94" w:rsidRPr="00F719DC">
              <w:rPr>
                <w:rStyle w:val="a8"/>
                <w:rFonts w:ascii="標楷體" w:eastAsia="標楷體" w:hAnsi="標楷體" w:cs="Times New Roman" w:hint="eastAsia"/>
                <w:noProof/>
              </w:rPr>
              <w:t>產</w:t>
            </w:r>
            <w:r w:rsidR="009E4E94" w:rsidRPr="00F719DC">
              <w:rPr>
                <w:rStyle w:val="a8"/>
                <w:rFonts w:ascii="標楷體" w:eastAsia="標楷體" w:hAnsi="標楷體" w:hint="eastAsia"/>
                <w:bCs/>
                <w:noProof/>
              </w:rPr>
              <w:t>業財務比率資訊</w:t>
            </w:r>
            <w:r w:rsidR="009E4E94">
              <w:rPr>
                <w:noProof/>
                <w:webHidden/>
              </w:rPr>
              <w:tab/>
            </w:r>
            <w:r>
              <w:rPr>
                <w:noProof/>
                <w:webHidden/>
              </w:rPr>
              <w:fldChar w:fldCharType="begin"/>
            </w:r>
            <w:r w:rsidR="009E4E94">
              <w:rPr>
                <w:noProof/>
                <w:webHidden/>
              </w:rPr>
              <w:instrText xml:space="preserve"> PAGEREF _Toc429750437 \h </w:instrText>
            </w:r>
            <w:r>
              <w:rPr>
                <w:noProof/>
                <w:webHidden/>
              </w:rPr>
            </w:r>
            <w:r>
              <w:rPr>
                <w:noProof/>
                <w:webHidden/>
              </w:rPr>
              <w:fldChar w:fldCharType="separate"/>
            </w:r>
            <w:r w:rsidR="00802F70">
              <w:rPr>
                <w:noProof/>
                <w:webHidden/>
              </w:rPr>
              <w:t>1</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38" w:history="1">
            <w:r w:rsidR="009E4E94" w:rsidRPr="00F719DC">
              <w:rPr>
                <w:rStyle w:val="a8"/>
                <w:rFonts w:ascii="標楷體" w:eastAsia="標楷體" w:hAnsi="標楷體" w:hint="eastAsia"/>
                <w:bCs/>
                <w:noProof/>
              </w:rPr>
              <w:t>一、</w:t>
            </w:r>
            <w:r w:rsidR="009E4E94">
              <w:rPr>
                <w:noProof/>
                <w:kern w:val="2"/>
                <w:sz w:val="24"/>
              </w:rPr>
              <w:tab/>
            </w:r>
            <w:r w:rsidR="00233231">
              <w:rPr>
                <w:rStyle w:val="a8"/>
                <w:rFonts w:ascii="標楷體" w:eastAsia="標楷體" w:hAnsi="標楷體" w:cs="Times New Roman"/>
                <w:noProof/>
              </w:rPr>
              <w:t>ROC GAAP</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一般公認會計原則</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編製基礎</w:t>
            </w:r>
            <w:r w:rsidR="009E4E94">
              <w:rPr>
                <w:noProof/>
                <w:webHidden/>
              </w:rPr>
              <w:tab/>
            </w:r>
            <w:r>
              <w:rPr>
                <w:noProof/>
                <w:webHidden/>
              </w:rPr>
              <w:fldChar w:fldCharType="begin"/>
            </w:r>
            <w:r w:rsidR="009E4E94">
              <w:rPr>
                <w:noProof/>
                <w:webHidden/>
              </w:rPr>
              <w:instrText xml:space="preserve"> PAGEREF _Toc429750438 \h </w:instrText>
            </w:r>
            <w:r>
              <w:rPr>
                <w:noProof/>
                <w:webHidden/>
              </w:rPr>
            </w:r>
            <w:r>
              <w:rPr>
                <w:noProof/>
                <w:webHidden/>
              </w:rPr>
              <w:fldChar w:fldCharType="separate"/>
            </w:r>
            <w:r w:rsidR="00802F70">
              <w:rPr>
                <w:noProof/>
                <w:webHidden/>
              </w:rPr>
              <w:t>1</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39" w:history="1">
            <w:r w:rsidR="009E4E94" w:rsidRPr="00F719DC">
              <w:rPr>
                <w:rStyle w:val="a8"/>
                <w:rFonts w:ascii="標楷體" w:eastAsia="標楷體" w:hAnsi="標楷體" w:hint="eastAsia"/>
                <w:bCs/>
                <w:noProof/>
              </w:rPr>
              <w:t>(一)</w:t>
            </w:r>
            <w:r w:rsidR="009E4E94">
              <w:rPr>
                <w:noProof/>
                <w:kern w:val="2"/>
                <w:sz w:val="24"/>
              </w:rPr>
              <w:tab/>
            </w:r>
            <w:r w:rsidR="009E4E94" w:rsidRPr="00F719DC">
              <w:rPr>
                <w:rStyle w:val="a8"/>
                <w:rFonts w:ascii="標楷體" w:eastAsia="標楷體" w:hAnsi="標楷體" w:hint="eastAsia"/>
                <w:bCs/>
                <w:noProof/>
              </w:rPr>
              <w:t>資訊範圍及對象</w:t>
            </w:r>
            <w:r w:rsidR="009E4E94">
              <w:rPr>
                <w:noProof/>
                <w:webHidden/>
              </w:rPr>
              <w:tab/>
            </w:r>
            <w:r>
              <w:rPr>
                <w:noProof/>
                <w:webHidden/>
              </w:rPr>
              <w:fldChar w:fldCharType="begin"/>
            </w:r>
            <w:r w:rsidR="009E4E94">
              <w:rPr>
                <w:noProof/>
                <w:webHidden/>
              </w:rPr>
              <w:instrText xml:space="preserve"> PAGEREF _Toc429750439 \h </w:instrText>
            </w:r>
            <w:r>
              <w:rPr>
                <w:noProof/>
                <w:webHidden/>
              </w:rPr>
            </w:r>
            <w:r>
              <w:rPr>
                <w:noProof/>
                <w:webHidden/>
              </w:rPr>
              <w:fldChar w:fldCharType="separate"/>
            </w:r>
            <w:r w:rsidR="00802F70">
              <w:rPr>
                <w:noProof/>
                <w:webHidden/>
              </w:rPr>
              <w:t>1</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0" w:history="1">
            <w:r w:rsidR="009E4E94" w:rsidRPr="00F719DC">
              <w:rPr>
                <w:rStyle w:val="a8"/>
                <w:rFonts w:ascii="標楷體" w:eastAsia="標楷體" w:hAnsi="標楷體" w:hint="eastAsia"/>
                <w:bCs/>
                <w:noProof/>
              </w:rPr>
              <w:t>(二)</w:t>
            </w:r>
            <w:r w:rsidR="009E4E94">
              <w:rPr>
                <w:noProof/>
                <w:kern w:val="2"/>
                <w:sz w:val="24"/>
              </w:rPr>
              <w:tab/>
            </w:r>
            <w:r w:rsidR="009E4E94" w:rsidRPr="00F719DC">
              <w:rPr>
                <w:rStyle w:val="a8"/>
                <w:rFonts w:ascii="標楷體" w:eastAsia="標楷體" w:hAnsi="標楷體" w:hint="eastAsia"/>
                <w:noProof/>
              </w:rPr>
              <w:t>資訊週期</w:t>
            </w:r>
            <w:r w:rsidR="009E4E94">
              <w:rPr>
                <w:noProof/>
                <w:webHidden/>
              </w:rPr>
              <w:tab/>
            </w:r>
            <w:r>
              <w:rPr>
                <w:noProof/>
                <w:webHidden/>
              </w:rPr>
              <w:fldChar w:fldCharType="begin"/>
            </w:r>
            <w:r w:rsidR="009E4E94">
              <w:rPr>
                <w:noProof/>
                <w:webHidden/>
              </w:rPr>
              <w:instrText xml:space="preserve"> PAGEREF _Toc429750440 \h </w:instrText>
            </w:r>
            <w:r>
              <w:rPr>
                <w:noProof/>
                <w:webHidden/>
              </w:rPr>
            </w:r>
            <w:r>
              <w:rPr>
                <w:noProof/>
                <w:webHidden/>
              </w:rPr>
              <w:fldChar w:fldCharType="separate"/>
            </w:r>
            <w:r w:rsidR="00802F70">
              <w:rPr>
                <w:noProof/>
                <w:webHidden/>
              </w:rPr>
              <w:t>2</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1" w:history="1">
            <w:r w:rsidR="009E4E94" w:rsidRPr="00F719DC">
              <w:rPr>
                <w:rStyle w:val="a8"/>
                <w:rFonts w:ascii="標楷體" w:eastAsia="標楷體" w:hAnsi="標楷體" w:hint="eastAsia"/>
                <w:bCs/>
                <w:noProof/>
              </w:rPr>
              <w:t>(三)</w:t>
            </w:r>
            <w:r w:rsidR="009E4E94">
              <w:rPr>
                <w:noProof/>
                <w:kern w:val="2"/>
                <w:sz w:val="24"/>
              </w:rPr>
              <w:tab/>
            </w:r>
            <w:r w:rsidR="009E4E94" w:rsidRPr="00F719DC">
              <w:rPr>
                <w:rStyle w:val="a8"/>
                <w:rFonts w:ascii="標楷體" w:eastAsia="標楷體" w:hAnsi="標楷體" w:hint="eastAsia"/>
                <w:noProof/>
              </w:rPr>
              <w:t>統計項目定義</w:t>
            </w:r>
            <w:r w:rsidR="009E4E94">
              <w:rPr>
                <w:noProof/>
                <w:webHidden/>
              </w:rPr>
              <w:tab/>
            </w:r>
            <w:r>
              <w:rPr>
                <w:noProof/>
                <w:webHidden/>
              </w:rPr>
              <w:fldChar w:fldCharType="begin"/>
            </w:r>
            <w:r w:rsidR="009E4E94">
              <w:rPr>
                <w:noProof/>
                <w:webHidden/>
              </w:rPr>
              <w:instrText xml:space="preserve"> PAGEREF _Toc429750441 \h </w:instrText>
            </w:r>
            <w:r>
              <w:rPr>
                <w:noProof/>
                <w:webHidden/>
              </w:rPr>
            </w:r>
            <w:r>
              <w:rPr>
                <w:noProof/>
                <w:webHidden/>
              </w:rPr>
              <w:fldChar w:fldCharType="separate"/>
            </w:r>
            <w:r w:rsidR="00802F70">
              <w:rPr>
                <w:noProof/>
                <w:webHidden/>
              </w:rPr>
              <w:t>2</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42" w:history="1">
            <w:r w:rsidR="009E4E94" w:rsidRPr="00F719DC">
              <w:rPr>
                <w:rStyle w:val="a8"/>
                <w:rFonts w:ascii="標楷體" w:eastAsia="標楷體" w:hAnsi="標楷體" w:cs="Times New Roman" w:hint="eastAsia"/>
                <w:noProof/>
              </w:rPr>
              <w:t>二、</w:t>
            </w:r>
            <w:r w:rsidR="009E4E94">
              <w:rPr>
                <w:noProof/>
                <w:kern w:val="2"/>
                <w:sz w:val="24"/>
              </w:rPr>
              <w:tab/>
            </w:r>
            <w:r w:rsidR="009E4E94" w:rsidRPr="00F719DC">
              <w:rPr>
                <w:rStyle w:val="a8"/>
                <w:rFonts w:ascii="標楷體" w:eastAsia="標楷體" w:hAnsi="標楷體" w:cs="Times New Roman"/>
                <w:noProof/>
              </w:rPr>
              <w:t>IFRSs(</w:t>
            </w:r>
            <w:r w:rsidR="009E4E94" w:rsidRPr="00F719DC">
              <w:rPr>
                <w:rStyle w:val="a8"/>
                <w:rFonts w:ascii="標楷體" w:eastAsia="標楷體" w:hAnsi="標楷體" w:cs="Times New Roman" w:hint="eastAsia"/>
                <w:noProof/>
              </w:rPr>
              <w:t>國際財務報導準則</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編製基礎</w:t>
            </w:r>
            <w:r w:rsidR="009E4E94">
              <w:rPr>
                <w:noProof/>
                <w:webHidden/>
              </w:rPr>
              <w:tab/>
            </w:r>
            <w:r>
              <w:rPr>
                <w:noProof/>
                <w:webHidden/>
              </w:rPr>
              <w:fldChar w:fldCharType="begin"/>
            </w:r>
            <w:r w:rsidR="009E4E94">
              <w:rPr>
                <w:noProof/>
                <w:webHidden/>
              </w:rPr>
              <w:instrText xml:space="preserve"> PAGEREF _Toc429750442 \h </w:instrText>
            </w:r>
            <w:r>
              <w:rPr>
                <w:noProof/>
                <w:webHidden/>
              </w:rPr>
            </w:r>
            <w:r>
              <w:rPr>
                <w:noProof/>
                <w:webHidden/>
              </w:rPr>
              <w:fldChar w:fldCharType="separate"/>
            </w:r>
            <w:r w:rsidR="00802F70">
              <w:rPr>
                <w:noProof/>
                <w:webHidden/>
              </w:rPr>
              <w:t>2</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3" w:history="1">
            <w:r w:rsidR="009E4E94" w:rsidRPr="00F719DC">
              <w:rPr>
                <w:rStyle w:val="a8"/>
                <w:rFonts w:ascii="標楷體" w:eastAsia="標楷體" w:hAnsi="標楷體" w:hint="eastAsia"/>
                <w:bCs/>
                <w:noProof/>
              </w:rPr>
              <w:t>(一)</w:t>
            </w:r>
            <w:r w:rsidR="009E4E94">
              <w:rPr>
                <w:noProof/>
                <w:kern w:val="2"/>
                <w:sz w:val="24"/>
              </w:rPr>
              <w:tab/>
            </w:r>
            <w:r w:rsidR="009E4E94" w:rsidRPr="00F719DC">
              <w:rPr>
                <w:rStyle w:val="a8"/>
                <w:rFonts w:ascii="標楷體" w:eastAsia="標楷體" w:hAnsi="標楷體" w:hint="eastAsia"/>
                <w:bCs/>
                <w:noProof/>
              </w:rPr>
              <w:t>資訊範圍及對象</w:t>
            </w:r>
            <w:r w:rsidR="009E4E94">
              <w:rPr>
                <w:noProof/>
                <w:webHidden/>
              </w:rPr>
              <w:tab/>
            </w:r>
            <w:r>
              <w:rPr>
                <w:noProof/>
                <w:webHidden/>
              </w:rPr>
              <w:fldChar w:fldCharType="begin"/>
            </w:r>
            <w:r w:rsidR="009E4E94">
              <w:rPr>
                <w:noProof/>
                <w:webHidden/>
              </w:rPr>
              <w:instrText xml:space="preserve"> PAGEREF _Toc429750443 \h </w:instrText>
            </w:r>
            <w:r>
              <w:rPr>
                <w:noProof/>
                <w:webHidden/>
              </w:rPr>
            </w:r>
            <w:r>
              <w:rPr>
                <w:noProof/>
                <w:webHidden/>
              </w:rPr>
              <w:fldChar w:fldCharType="separate"/>
            </w:r>
            <w:r w:rsidR="00802F70">
              <w:rPr>
                <w:noProof/>
                <w:webHidden/>
              </w:rPr>
              <w:t>2</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4" w:history="1">
            <w:r w:rsidR="009E4E94" w:rsidRPr="00F719DC">
              <w:rPr>
                <w:rStyle w:val="a8"/>
                <w:rFonts w:ascii="標楷體" w:eastAsia="標楷體" w:hAnsi="標楷體" w:hint="eastAsia"/>
                <w:bCs/>
                <w:noProof/>
              </w:rPr>
              <w:t>(二)</w:t>
            </w:r>
            <w:r w:rsidR="009E4E94">
              <w:rPr>
                <w:noProof/>
                <w:kern w:val="2"/>
                <w:sz w:val="24"/>
              </w:rPr>
              <w:tab/>
            </w:r>
            <w:r w:rsidR="009E4E94" w:rsidRPr="00F719DC">
              <w:rPr>
                <w:rStyle w:val="a8"/>
                <w:rFonts w:ascii="標楷體" w:eastAsia="標楷體" w:hAnsi="標楷體" w:hint="eastAsia"/>
                <w:noProof/>
              </w:rPr>
              <w:t>資訊週期</w:t>
            </w:r>
            <w:r w:rsidR="009E4E94">
              <w:rPr>
                <w:noProof/>
                <w:webHidden/>
              </w:rPr>
              <w:tab/>
            </w:r>
            <w:r>
              <w:rPr>
                <w:noProof/>
                <w:webHidden/>
              </w:rPr>
              <w:fldChar w:fldCharType="begin"/>
            </w:r>
            <w:r w:rsidR="009E4E94">
              <w:rPr>
                <w:noProof/>
                <w:webHidden/>
              </w:rPr>
              <w:instrText xml:space="preserve"> PAGEREF _Toc429750444 \h </w:instrText>
            </w:r>
            <w:r>
              <w:rPr>
                <w:noProof/>
                <w:webHidden/>
              </w:rPr>
            </w:r>
            <w:r>
              <w:rPr>
                <w:noProof/>
                <w:webHidden/>
              </w:rPr>
              <w:fldChar w:fldCharType="separate"/>
            </w:r>
            <w:r w:rsidR="00802F70">
              <w:rPr>
                <w:noProof/>
                <w:webHidden/>
              </w:rPr>
              <w:t>3</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5" w:history="1">
            <w:r w:rsidR="009E4E94" w:rsidRPr="00F719DC">
              <w:rPr>
                <w:rStyle w:val="a8"/>
                <w:rFonts w:ascii="標楷體" w:eastAsia="標楷體" w:hAnsi="標楷體" w:hint="eastAsia"/>
                <w:bCs/>
                <w:noProof/>
              </w:rPr>
              <w:t>(三)</w:t>
            </w:r>
            <w:r w:rsidR="009E4E94">
              <w:rPr>
                <w:noProof/>
                <w:kern w:val="2"/>
                <w:sz w:val="24"/>
              </w:rPr>
              <w:tab/>
            </w:r>
            <w:r w:rsidR="009E4E94" w:rsidRPr="00F719DC">
              <w:rPr>
                <w:rStyle w:val="a8"/>
                <w:rFonts w:ascii="標楷體" w:eastAsia="標楷體" w:hAnsi="標楷體" w:hint="eastAsia"/>
                <w:noProof/>
              </w:rPr>
              <w:t>統計項目定義</w:t>
            </w:r>
            <w:r w:rsidR="009E4E94">
              <w:rPr>
                <w:noProof/>
                <w:webHidden/>
              </w:rPr>
              <w:tab/>
            </w:r>
            <w:r>
              <w:rPr>
                <w:noProof/>
                <w:webHidden/>
              </w:rPr>
              <w:fldChar w:fldCharType="begin"/>
            </w:r>
            <w:r w:rsidR="009E4E94">
              <w:rPr>
                <w:noProof/>
                <w:webHidden/>
              </w:rPr>
              <w:instrText xml:space="preserve"> PAGEREF _Toc429750445 \h </w:instrText>
            </w:r>
            <w:r>
              <w:rPr>
                <w:noProof/>
                <w:webHidden/>
              </w:rPr>
            </w:r>
            <w:r>
              <w:rPr>
                <w:noProof/>
                <w:webHidden/>
              </w:rPr>
              <w:fldChar w:fldCharType="separate"/>
            </w:r>
            <w:r w:rsidR="00802F70">
              <w:rPr>
                <w:noProof/>
                <w:webHidden/>
              </w:rPr>
              <w:t>3</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46" w:history="1">
            <w:r w:rsidR="009E4E94" w:rsidRPr="00F719DC">
              <w:rPr>
                <w:rStyle w:val="a8"/>
                <w:rFonts w:ascii="標楷體" w:eastAsia="標楷體" w:hAnsi="標楷體" w:cs="Times New Roman" w:hint="eastAsia"/>
                <w:noProof/>
              </w:rPr>
              <w:t>三、</w:t>
            </w:r>
            <w:r w:rsidR="009E4E94">
              <w:rPr>
                <w:noProof/>
                <w:kern w:val="2"/>
                <w:sz w:val="24"/>
              </w:rPr>
              <w:tab/>
            </w:r>
            <w:r w:rsidR="009E4E94" w:rsidRPr="00F719DC">
              <w:rPr>
                <w:rStyle w:val="a8"/>
                <w:rFonts w:ascii="標楷體" w:eastAsia="標楷體" w:hAnsi="標楷體" w:cs="Times New Roman" w:hint="eastAsia"/>
                <w:noProof/>
              </w:rPr>
              <w:t>統計數值說明</w:t>
            </w:r>
            <w:r w:rsidR="009E4E94">
              <w:rPr>
                <w:noProof/>
                <w:webHidden/>
              </w:rPr>
              <w:tab/>
            </w:r>
            <w:r>
              <w:rPr>
                <w:noProof/>
                <w:webHidden/>
              </w:rPr>
              <w:fldChar w:fldCharType="begin"/>
            </w:r>
            <w:r w:rsidR="009E4E94">
              <w:rPr>
                <w:noProof/>
                <w:webHidden/>
              </w:rPr>
              <w:instrText xml:space="preserve"> PAGEREF _Toc429750446 \h </w:instrText>
            </w:r>
            <w:r>
              <w:rPr>
                <w:noProof/>
                <w:webHidden/>
              </w:rPr>
            </w:r>
            <w:r>
              <w:rPr>
                <w:noProof/>
                <w:webHidden/>
              </w:rPr>
              <w:fldChar w:fldCharType="separate"/>
            </w:r>
            <w:r w:rsidR="00802F70">
              <w:rPr>
                <w:noProof/>
                <w:webHidden/>
              </w:rPr>
              <w:t>4</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47" w:history="1">
            <w:r w:rsidR="009E4E94" w:rsidRPr="00F719DC">
              <w:rPr>
                <w:rStyle w:val="a8"/>
                <w:rFonts w:ascii="標楷體" w:eastAsia="標楷體" w:hAnsi="標楷體" w:hint="eastAsia"/>
                <w:noProof/>
              </w:rPr>
              <w:t>四、</w:t>
            </w:r>
            <w:r w:rsidR="009E4E94">
              <w:rPr>
                <w:noProof/>
                <w:kern w:val="2"/>
                <w:sz w:val="24"/>
              </w:rPr>
              <w:tab/>
            </w:r>
            <w:r w:rsidR="009E4E94" w:rsidRPr="00F719DC">
              <w:rPr>
                <w:rStyle w:val="a8"/>
                <w:rFonts w:ascii="標楷體" w:eastAsia="標楷體" w:hAnsi="標楷體" w:cs="Times New Roman" w:hint="eastAsia"/>
                <w:noProof/>
              </w:rPr>
              <w:t>財務比率應用之限制</w:t>
            </w:r>
            <w:r w:rsidR="009E4E94">
              <w:rPr>
                <w:noProof/>
                <w:webHidden/>
              </w:rPr>
              <w:tab/>
            </w:r>
            <w:r>
              <w:rPr>
                <w:noProof/>
                <w:webHidden/>
              </w:rPr>
              <w:fldChar w:fldCharType="begin"/>
            </w:r>
            <w:r w:rsidR="009E4E94">
              <w:rPr>
                <w:noProof/>
                <w:webHidden/>
              </w:rPr>
              <w:instrText xml:space="preserve"> PAGEREF _Toc429750447 \h </w:instrText>
            </w:r>
            <w:r>
              <w:rPr>
                <w:noProof/>
                <w:webHidden/>
              </w:rPr>
            </w:r>
            <w:r>
              <w:rPr>
                <w:noProof/>
                <w:webHidden/>
              </w:rPr>
              <w:fldChar w:fldCharType="separate"/>
            </w:r>
            <w:r w:rsidR="00802F70">
              <w:rPr>
                <w:noProof/>
                <w:webHidden/>
              </w:rPr>
              <w:t>6</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8" w:history="1">
            <w:r w:rsidR="009E4E94" w:rsidRPr="00F719DC">
              <w:rPr>
                <w:rStyle w:val="a8"/>
                <w:rFonts w:ascii="標楷體" w:eastAsia="標楷體" w:hAnsi="標楷體" w:hint="eastAsia"/>
                <w:bCs/>
                <w:noProof/>
              </w:rPr>
              <w:t>(一)</w:t>
            </w:r>
            <w:r w:rsidR="009E4E94">
              <w:rPr>
                <w:noProof/>
                <w:kern w:val="2"/>
                <w:sz w:val="24"/>
              </w:rPr>
              <w:tab/>
            </w:r>
            <w:r w:rsidR="00233231">
              <w:rPr>
                <w:rStyle w:val="a8"/>
                <w:rFonts w:ascii="標楷體" w:eastAsia="標楷體" w:hAnsi="標楷體" w:cs="Times New Roman"/>
                <w:noProof/>
              </w:rPr>
              <w:t>ROC GAAP</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一般公認會計原則</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編製基礎</w:t>
            </w:r>
            <w:r w:rsidR="009E4E94">
              <w:rPr>
                <w:noProof/>
                <w:webHidden/>
              </w:rPr>
              <w:tab/>
            </w:r>
            <w:r>
              <w:rPr>
                <w:noProof/>
                <w:webHidden/>
              </w:rPr>
              <w:fldChar w:fldCharType="begin"/>
            </w:r>
            <w:r w:rsidR="009E4E94">
              <w:rPr>
                <w:noProof/>
                <w:webHidden/>
              </w:rPr>
              <w:instrText xml:space="preserve"> PAGEREF _Toc429750448 \h </w:instrText>
            </w:r>
            <w:r>
              <w:rPr>
                <w:noProof/>
                <w:webHidden/>
              </w:rPr>
            </w:r>
            <w:r>
              <w:rPr>
                <w:noProof/>
                <w:webHidden/>
              </w:rPr>
              <w:fldChar w:fldCharType="separate"/>
            </w:r>
            <w:r w:rsidR="00802F70">
              <w:rPr>
                <w:noProof/>
                <w:webHidden/>
              </w:rPr>
              <w:t>7</w:t>
            </w:r>
            <w:r>
              <w:rPr>
                <w:noProof/>
                <w:webHidden/>
              </w:rPr>
              <w:fldChar w:fldCharType="end"/>
            </w:r>
          </w:hyperlink>
        </w:p>
        <w:p w:rsidR="009E4E94" w:rsidRDefault="00E83285">
          <w:pPr>
            <w:pStyle w:val="3"/>
            <w:tabs>
              <w:tab w:val="left" w:pos="1200"/>
              <w:tab w:val="right" w:leader="dot" w:pos="8296"/>
            </w:tabs>
            <w:rPr>
              <w:noProof/>
              <w:kern w:val="2"/>
              <w:sz w:val="24"/>
            </w:rPr>
          </w:pPr>
          <w:hyperlink w:anchor="_Toc429750449" w:history="1">
            <w:r w:rsidR="009E4E94" w:rsidRPr="00F719DC">
              <w:rPr>
                <w:rStyle w:val="a8"/>
                <w:rFonts w:ascii="標楷體" w:eastAsia="標楷體" w:hAnsi="標楷體" w:cs="Times New Roman" w:hint="eastAsia"/>
                <w:noProof/>
              </w:rPr>
              <w:t>(二)</w:t>
            </w:r>
            <w:r w:rsidR="009E4E94">
              <w:rPr>
                <w:noProof/>
                <w:kern w:val="2"/>
                <w:sz w:val="24"/>
              </w:rPr>
              <w:tab/>
            </w:r>
            <w:r w:rsidR="00233231">
              <w:rPr>
                <w:rStyle w:val="a8"/>
                <w:rFonts w:ascii="標楷體" w:eastAsia="標楷體" w:hAnsi="標楷體" w:cs="Times New Roman"/>
                <w:noProof/>
              </w:rPr>
              <w:t>ROC GAAP</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一般公認會計原則</w:t>
            </w:r>
            <w:r w:rsidR="009E4E94" w:rsidRPr="00F719DC">
              <w:rPr>
                <w:rStyle w:val="a8"/>
                <w:rFonts w:ascii="標楷體" w:eastAsia="標楷體" w:hAnsi="標楷體" w:cs="Times New Roman"/>
                <w:noProof/>
              </w:rPr>
              <w:t>)</w:t>
            </w:r>
            <w:r w:rsidR="009E4E94" w:rsidRPr="00F719DC">
              <w:rPr>
                <w:rStyle w:val="a8"/>
                <w:rFonts w:ascii="標楷體" w:eastAsia="標楷體" w:hAnsi="標楷體" w:cs="Times New Roman" w:hint="eastAsia"/>
                <w:noProof/>
              </w:rPr>
              <w:t>編製基礎</w:t>
            </w:r>
            <w:r w:rsidR="009E4E94">
              <w:rPr>
                <w:noProof/>
                <w:webHidden/>
              </w:rPr>
              <w:tab/>
            </w:r>
            <w:r>
              <w:rPr>
                <w:noProof/>
                <w:webHidden/>
              </w:rPr>
              <w:fldChar w:fldCharType="begin"/>
            </w:r>
            <w:r w:rsidR="009E4E94">
              <w:rPr>
                <w:noProof/>
                <w:webHidden/>
              </w:rPr>
              <w:instrText xml:space="preserve"> PAGEREF _Toc429750449 \h </w:instrText>
            </w:r>
            <w:r>
              <w:rPr>
                <w:noProof/>
                <w:webHidden/>
              </w:rPr>
            </w:r>
            <w:r>
              <w:rPr>
                <w:noProof/>
                <w:webHidden/>
              </w:rPr>
              <w:fldChar w:fldCharType="separate"/>
            </w:r>
            <w:r w:rsidR="00802F70">
              <w:rPr>
                <w:noProof/>
                <w:webHidden/>
              </w:rPr>
              <w:t>7</w:t>
            </w:r>
            <w:r>
              <w:rPr>
                <w:noProof/>
                <w:webHidden/>
              </w:rPr>
              <w:fldChar w:fldCharType="end"/>
            </w:r>
          </w:hyperlink>
        </w:p>
        <w:p w:rsidR="009E4E94" w:rsidRDefault="00E83285">
          <w:pPr>
            <w:pStyle w:val="11"/>
            <w:tabs>
              <w:tab w:val="left" w:pos="720"/>
              <w:tab w:val="right" w:leader="dot" w:pos="8296"/>
            </w:tabs>
            <w:rPr>
              <w:noProof/>
              <w:kern w:val="2"/>
              <w:sz w:val="24"/>
            </w:rPr>
          </w:pPr>
          <w:hyperlink w:anchor="_Toc429750450" w:history="1">
            <w:r w:rsidR="009E4E94" w:rsidRPr="00F719DC">
              <w:rPr>
                <w:rStyle w:val="a8"/>
                <w:rFonts w:ascii="標楷體" w:eastAsia="標楷體" w:hAnsi="標楷體" w:hint="eastAsia"/>
                <w:bCs/>
                <w:noProof/>
              </w:rPr>
              <w:t>貳、</w:t>
            </w:r>
            <w:r w:rsidR="009E4E94">
              <w:rPr>
                <w:noProof/>
                <w:kern w:val="2"/>
                <w:sz w:val="24"/>
              </w:rPr>
              <w:tab/>
            </w:r>
            <w:r w:rsidR="009E4E94" w:rsidRPr="00F719DC">
              <w:rPr>
                <w:rStyle w:val="a8"/>
                <w:rFonts w:ascii="標楷體" w:eastAsia="標楷體" w:hAnsi="標楷體" w:hint="eastAsia"/>
                <w:bCs/>
                <w:noProof/>
              </w:rPr>
              <w:t>產業財務結構資訊</w:t>
            </w:r>
            <w:r w:rsidR="009E4E94">
              <w:rPr>
                <w:noProof/>
                <w:webHidden/>
              </w:rPr>
              <w:tab/>
            </w:r>
            <w:r>
              <w:rPr>
                <w:noProof/>
                <w:webHidden/>
              </w:rPr>
              <w:fldChar w:fldCharType="begin"/>
            </w:r>
            <w:r w:rsidR="009E4E94">
              <w:rPr>
                <w:noProof/>
                <w:webHidden/>
              </w:rPr>
              <w:instrText xml:space="preserve"> PAGEREF _Toc429750450 \h </w:instrText>
            </w:r>
            <w:r>
              <w:rPr>
                <w:noProof/>
                <w:webHidden/>
              </w:rPr>
            </w:r>
            <w:r>
              <w:rPr>
                <w:noProof/>
                <w:webHidden/>
              </w:rPr>
              <w:fldChar w:fldCharType="separate"/>
            </w:r>
            <w:r w:rsidR="00802F70">
              <w:rPr>
                <w:noProof/>
                <w:webHidden/>
              </w:rPr>
              <w:t>8</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51" w:history="1">
            <w:r w:rsidR="009E4E94" w:rsidRPr="00F719DC">
              <w:rPr>
                <w:rStyle w:val="a8"/>
                <w:rFonts w:ascii="標楷體" w:eastAsia="標楷體" w:hAnsi="標楷體" w:hint="eastAsia"/>
                <w:bCs/>
                <w:noProof/>
              </w:rPr>
              <w:t>一、</w:t>
            </w:r>
            <w:r w:rsidR="009E4E94">
              <w:rPr>
                <w:noProof/>
                <w:kern w:val="2"/>
                <w:sz w:val="24"/>
              </w:rPr>
              <w:tab/>
            </w:r>
            <w:r w:rsidR="009E4E94" w:rsidRPr="00F719DC">
              <w:rPr>
                <w:rStyle w:val="a8"/>
                <w:rFonts w:ascii="標楷體" w:eastAsia="標楷體" w:hAnsi="標楷體" w:hint="eastAsia"/>
                <w:bCs/>
                <w:noProof/>
              </w:rPr>
              <w:t>資訊範圍及對象</w:t>
            </w:r>
            <w:r w:rsidR="009E4E94">
              <w:rPr>
                <w:noProof/>
                <w:webHidden/>
              </w:rPr>
              <w:tab/>
            </w:r>
            <w:r>
              <w:rPr>
                <w:noProof/>
                <w:webHidden/>
              </w:rPr>
              <w:fldChar w:fldCharType="begin"/>
            </w:r>
            <w:r w:rsidR="009E4E94">
              <w:rPr>
                <w:noProof/>
                <w:webHidden/>
              </w:rPr>
              <w:instrText xml:space="preserve"> PAGEREF _Toc429750451 \h </w:instrText>
            </w:r>
            <w:r>
              <w:rPr>
                <w:noProof/>
                <w:webHidden/>
              </w:rPr>
            </w:r>
            <w:r>
              <w:rPr>
                <w:noProof/>
                <w:webHidden/>
              </w:rPr>
              <w:fldChar w:fldCharType="separate"/>
            </w:r>
            <w:r w:rsidR="00802F70">
              <w:rPr>
                <w:noProof/>
                <w:webHidden/>
              </w:rPr>
              <w:t>8</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52" w:history="1">
            <w:r w:rsidR="009E4E94" w:rsidRPr="00F719DC">
              <w:rPr>
                <w:rStyle w:val="a8"/>
                <w:rFonts w:ascii="標楷體" w:eastAsia="標楷體" w:hAnsi="標楷體" w:hint="eastAsia"/>
                <w:bCs/>
                <w:noProof/>
              </w:rPr>
              <w:t>二、</w:t>
            </w:r>
            <w:r w:rsidR="009E4E94">
              <w:rPr>
                <w:noProof/>
                <w:kern w:val="2"/>
                <w:sz w:val="24"/>
              </w:rPr>
              <w:tab/>
            </w:r>
            <w:r w:rsidR="009E4E94" w:rsidRPr="00F719DC">
              <w:rPr>
                <w:rStyle w:val="a8"/>
                <w:rFonts w:ascii="標楷體" w:eastAsia="標楷體" w:hAnsi="標楷體" w:hint="eastAsia"/>
                <w:noProof/>
              </w:rPr>
              <w:t>資訊週期</w:t>
            </w:r>
            <w:r w:rsidR="009E4E94">
              <w:rPr>
                <w:noProof/>
                <w:webHidden/>
              </w:rPr>
              <w:tab/>
            </w:r>
            <w:r>
              <w:rPr>
                <w:noProof/>
                <w:webHidden/>
              </w:rPr>
              <w:fldChar w:fldCharType="begin"/>
            </w:r>
            <w:r w:rsidR="009E4E94">
              <w:rPr>
                <w:noProof/>
                <w:webHidden/>
              </w:rPr>
              <w:instrText xml:space="preserve"> PAGEREF _Toc429750452 \h </w:instrText>
            </w:r>
            <w:r>
              <w:rPr>
                <w:noProof/>
                <w:webHidden/>
              </w:rPr>
            </w:r>
            <w:r>
              <w:rPr>
                <w:noProof/>
                <w:webHidden/>
              </w:rPr>
              <w:fldChar w:fldCharType="separate"/>
            </w:r>
            <w:r w:rsidR="00802F70">
              <w:rPr>
                <w:noProof/>
                <w:webHidden/>
              </w:rPr>
              <w:t>8</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53" w:history="1">
            <w:r w:rsidR="009E4E94" w:rsidRPr="00F719DC">
              <w:rPr>
                <w:rStyle w:val="a8"/>
                <w:rFonts w:ascii="標楷體" w:eastAsia="標楷體" w:hAnsi="標楷體" w:hint="eastAsia"/>
                <w:bCs/>
                <w:noProof/>
              </w:rPr>
              <w:t>三、</w:t>
            </w:r>
            <w:r w:rsidR="009E4E94">
              <w:rPr>
                <w:noProof/>
                <w:kern w:val="2"/>
                <w:sz w:val="24"/>
              </w:rPr>
              <w:tab/>
            </w:r>
            <w:r w:rsidR="009E4E94" w:rsidRPr="00F719DC">
              <w:rPr>
                <w:rStyle w:val="a8"/>
                <w:rFonts w:ascii="標楷體" w:eastAsia="標楷體" w:hAnsi="標楷體" w:hint="eastAsia"/>
                <w:noProof/>
              </w:rPr>
              <w:t>統計項目定義</w:t>
            </w:r>
            <w:r w:rsidR="009E4E94">
              <w:rPr>
                <w:noProof/>
                <w:webHidden/>
              </w:rPr>
              <w:tab/>
            </w:r>
            <w:r>
              <w:rPr>
                <w:noProof/>
                <w:webHidden/>
              </w:rPr>
              <w:fldChar w:fldCharType="begin"/>
            </w:r>
            <w:r w:rsidR="009E4E94">
              <w:rPr>
                <w:noProof/>
                <w:webHidden/>
              </w:rPr>
              <w:instrText xml:space="preserve"> PAGEREF _Toc429750453 \h </w:instrText>
            </w:r>
            <w:r>
              <w:rPr>
                <w:noProof/>
                <w:webHidden/>
              </w:rPr>
            </w:r>
            <w:r>
              <w:rPr>
                <w:noProof/>
                <w:webHidden/>
              </w:rPr>
              <w:fldChar w:fldCharType="separate"/>
            </w:r>
            <w:r w:rsidR="00802F70">
              <w:rPr>
                <w:noProof/>
                <w:webHidden/>
              </w:rPr>
              <w:t>8</w:t>
            </w:r>
            <w:r>
              <w:rPr>
                <w:noProof/>
                <w:webHidden/>
              </w:rPr>
              <w:fldChar w:fldCharType="end"/>
            </w:r>
          </w:hyperlink>
        </w:p>
        <w:p w:rsidR="009E4E94" w:rsidRDefault="00E83285">
          <w:pPr>
            <w:pStyle w:val="11"/>
            <w:tabs>
              <w:tab w:val="left" w:pos="720"/>
              <w:tab w:val="right" w:leader="dot" w:pos="8296"/>
            </w:tabs>
            <w:rPr>
              <w:noProof/>
              <w:kern w:val="2"/>
              <w:sz w:val="24"/>
            </w:rPr>
          </w:pPr>
          <w:hyperlink w:anchor="_Toc429750454" w:history="1">
            <w:r w:rsidR="009E4E94" w:rsidRPr="00F719DC">
              <w:rPr>
                <w:rStyle w:val="a8"/>
                <w:rFonts w:ascii="標楷體" w:eastAsia="標楷體" w:hAnsi="標楷體" w:hint="eastAsia"/>
                <w:bCs/>
                <w:noProof/>
              </w:rPr>
              <w:t>參、</w:t>
            </w:r>
            <w:r w:rsidR="009E4E94">
              <w:rPr>
                <w:noProof/>
                <w:kern w:val="2"/>
                <w:sz w:val="24"/>
              </w:rPr>
              <w:tab/>
            </w:r>
            <w:r w:rsidR="009E4E94" w:rsidRPr="00F719DC">
              <w:rPr>
                <w:rStyle w:val="a8"/>
                <w:rFonts w:ascii="標楷體" w:eastAsia="標楷體" w:hAnsi="標楷體" w:hint="eastAsia"/>
                <w:bCs/>
                <w:noProof/>
              </w:rPr>
              <w:t>產業授信彙總資訊</w:t>
            </w:r>
            <w:r w:rsidR="009E4E94">
              <w:rPr>
                <w:noProof/>
                <w:webHidden/>
              </w:rPr>
              <w:tab/>
            </w:r>
            <w:r>
              <w:rPr>
                <w:noProof/>
                <w:webHidden/>
              </w:rPr>
              <w:fldChar w:fldCharType="begin"/>
            </w:r>
            <w:r w:rsidR="009E4E94">
              <w:rPr>
                <w:noProof/>
                <w:webHidden/>
              </w:rPr>
              <w:instrText xml:space="preserve"> PAGEREF _Toc429750454 \h </w:instrText>
            </w:r>
            <w:r>
              <w:rPr>
                <w:noProof/>
                <w:webHidden/>
              </w:rPr>
            </w:r>
            <w:r>
              <w:rPr>
                <w:noProof/>
                <w:webHidden/>
              </w:rPr>
              <w:fldChar w:fldCharType="separate"/>
            </w:r>
            <w:r w:rsidR="00802F70">
              <w:rPr>
                <w:noProof/>
                <w:webHidden/>
              </w:rPr>
              <w:t>9</w:t>
            </w:r>
            <w:r>
              <w:rPr>
                <w:noProof/>
                <w:webHidden/>
              </w:rPr>
              <w:fldChar w:fldCharType="end"/>
            </w:r>
          </w:hyperlink>
        </w:p>
        <w:p w:rsidR="009E4E94" w:rsidRDefault="00E83285">
          <w:pPr>
            <w:pStyle w:val="2"/>
            <w:tabs>
              <w:tab w:val="left" w:pos="960"/>
              <w:tab w:val="right" w:leader="dot" w:pos="8296"/>
            </w:tabs>
            <w:rPr>
              <w:noProof/>
              <w:kern w:val="2"/>
              <w:sz w:val="24"/>
            </w:rPr>
          </w:pPr>
          <w:hyperlink w:anchor="_Toc429750455" w:history="1">
            <w:r w:rsidR="009E4E94" w:rsidRPr="00F719DC">
              <w:rPr>
                <w:rStyle w:val="a8"/>
                <w:rFonts w:ascii="標楷體" w:eastAsia="標楷體" w:hAnsi="標楷體" w:hint="eastAsia"/>
                <w:bCs/>
                <w:noProof/>
              </w:rPr>
              <w:t>一、</w:t>
            </w:r>
            <w:r w:rsidR="009E4E94">
              <w:rPr>
                <w:noProof/>
                <w:kern w:val="2"/>
                <w:sz w:val="24"/>
              </w:rPr>
              <w:tab/>
            </w:r>
            <w:r w:rsidR="009E4E94" w:rsidRPr="00F719DC">
              <w:rPr>
                <w:rStyle w:val="a8"/>
                <w:rFonts w:ascii="標楷體" w:eastAsia="標楷體" w:hAnsi="標楷體" w:hint="eastAsia"/>
                <w:bCs/>
                <w:noProof/>
              </w:rPr>
              <w:t>資訊範圍及對象</w:t>
            </w:r>
            <w:r w:rsidR="009E4E94">
              <w:rPr>
                <w:noProof/>
                <w:webHidden/>
              </w:rPr>
              <w:tab/>
            </w:r>
            <w:r>
              <w:rPr>
                <w:noProof/>
                <w:webHidden/>
              </w:rPr>
              <w:fldChar w:fldCharType="begin"/>
            </w:r>
            <w:r w:rsidR="009E4E94">
              <w:rPr>
                <w:noProof/>
                <w:webHidden/>
              </w:rPr>
              <w:instrText xml:space="preserve"> PAGEREF _Toc429750455 \h </w:instrText>
            </w:r>
            <w:r>
              <w:rPr>
                <w:noProof/>
                <w:webHidden/>
              </w:rPr>
            </w:r>
            <w:r>
              <w:rPr>
                <w:noProof/>
                <w:webHidden/>
              </w:rPr>
              <w:fldChar w:fldCharType="separate"/>
            </w:r>
            <w:r w:rsidR="00802F70">
              <w:rPr>
                <w:noProof/>
                <w:webHidden/>
              </w:rPr>
              <w:t>9</w:t>
            </w:r>
            <w:r>
              <w:rPr>
                <w:noProof/>
                <w:webHidden/>
              </w:rPr>
              <w:fldChar w:fldCharType="end"/>
            </w:r>
          </w:hyperlink>
        </w:p>
        <w:p w:rsidR="009E4E94" w:rsidRDefault="00E83285">
          <w:pPr>
            <w:pStyle w:val="2"/>
            <w:tabs>
              <w:tab w:val="left" w:pos="960"/>
              <w:tab w:val="right" w:leader="dot" w:pos="8296"/>
            </w:tabs>
            <w:rPr>
              <w:noProof/>
              <w:kern w:val="2"/>
              <w:sz w:val="24"/>
            </w:rPr>
          </w:pPr>
          <w:r w:rsidRPr="00F719DC">
            <w:rPr>
              <w:rStyle w:val="a8"/>
              <w:noProof/>
            </w:rPr>
            <w:fldChar w:fldCharType="begin"/>
          </w:r>
          <w:r w:rsidR="009E4E94" w:rsidRPr="00F719DC">
            <w:rPr>
              <w:rStyle w:val="a8"/>
              <w:noProof/>
            </w:rPr>
            <w:instrText xml:space="preserve"> </w:instrText>
          </w:r>
          <w:r w:rsidR="009E4E94">
            <w:rPr>
              <w:noProof/>
            </w:rPr>
            <w:instrText>HYPERLINK \l "_Toc429750456"</w:instrText>
          </w:r>
          <w:r w:rsidR="009E4E94" w:rsidRPr="00F719DC">
            <w:rPr>
              <w:rStyle w:val="a8"/>
              <w:noProof/>
            </w:rPr>
            <w:instrText xml:space="preserve"> </w:instrText>
          </w:r>
          <w:r w:rsidR="00802F70" w:rsidRPr="00F719DC">
            <w:rPr>
              <w:rStyle w:val="a8"/>
              <w:noProof/>
            </w:rPr>
          </w:r>
          <w:r w:rsidRPr="00F719DC">
            <w:rPr>
              <w:rStyle w:val="a8"/>
              <w:noProof/>
            </w:rPr>
            <w:fldChar w:fldCharType="separate"/>
          </w:r>
          <w:r w:rsidR="009E4E94" w:rsidRPr="00F719DC">
            <w:rPr>
              <w:rStyle w:val="a8"/>
              <w:rFonts w:ascii="標楷體" w:eastAsia="標楷體" w:hAnsi="標楷體" w:hint="eastAsia"/>
              <w:bCs/>
              <w:noProof/>
            </w:rPr>
            <w:t>二、</w:t>
          </w:r>
          <w:r w:rsidR="009E4E94">
            <w:rPr>
              <w:noProof/>
              <w:kern w:val="2"/>
              <w:sz w:val="24"/>
            </w:rPr>
            <w:tab/>
          </w:r>
          <w:r w:rsidR="009E4E94" w:rsidRPr="00F719DC">
            <w:rPr>
              <w:rStyle w:val="a8"/>
              <w:rFonts w:ascii="標楷體" w:eastAsia="標楷體" w:hAnsi="標楷體" w:hint="eastAsia"/>
              <w:noProof/>
            </w:rPr>
            <w:t>資訊週期</w:t>
          </w:r>
          <w:r w:rsidR="009E4E94">
            <w:rPr>
              <w:noProof/>
              <w:webHidden/>
            </w:rPr>
            <w:tab/>
          </w:r>
          <w:r>
            <w:rPr>
              <w:noProof/>
              <w:webHidden/>
            </w:rPr>
            <w:fldChar w:fldCharType="begin"/>
          </w:r>
          <w:r w:rsidR="009E4E94">
            <w:rPr>
              <w:noProof/>
              <w:webHidden/>
            </w:rPr>
            <w:instrText xml:space="preserve"> PAGEREF _Toc429750456 \h </w:instrText>
          </w:r>
          <w:r>
            <w:rPr>
              <w:noProof/>
              <w:webHidden/>
            </w:rPr>
          </w:r>
          <w:r>
            <w:rPr>
              <w:noProof/>
              <w:webHidden/>
            </w:rPr>
            <w:fldChar w:fldCharType="separate"/>
          </w:r>
          <w:r w:rsidR="00802F70">
            <w:rPr>
              <w:noProof/>
              <w:webHidden/>
            </w:rPr>
            <w:t>9</w:t>
          </w:r>
          <w:r>
            <w:rPr>
              <w:noProof/>
              <w:webHidden/>
            </w:rPr>
            <w:fldChar w:fldCharType="end"/>
          </w:r>
          <w:r w:rsidRPr="00F719DC">
            <w:rPr>
              <w:rStyle w:val="a8"/>
              <w:noProof/>
            </w:rPr>
            <w:fldChar w:fldCharType="end"/>
          </w:r>
        </w:p>
        <w:p w:rsidR="009E4E94" w:rsidRDefault="00E83285">
          <w:pPr>
            <w:pStyle w:val="2"/>
            <w:tabs>
              <w:tab w:val="left" w:pos="960"/>
              <w:tab w:val="right" w:leader="dot" w:pos="8296"/>
            </w:tabs>
            <w:rPr>
              <w:noProof/>
              <w:kern w:val="2"/>
              <w:sz w:val="24"/>
            </w:rPr>
          </w:pPr>
          <w:r w:rsidRPr="00F719DC">
            <w:rPr>
              <w:rStyle w:val="a8"/>
              <w:noProof/>
            </w:rPr>
            <w:fldChar w:fldCharType="begin"/>
          </w:r>
          <w:r w:rsidR="009E4E94" w:rsidRPr="00F719DC">
            <w:rPr>
              <w:rStyle w:val="a8"/>
              <w:noProof/>
            </w:rPr>
            <w:instrText xml:space="preserve"> </w:instrText>
          </w:r>
          <w:r w:rsidR="009E4E94">
            <w:rPr>
              <w:noProof/>
            </w:rPr>
            <w:instrText>HYPERLINK \l "_Toc429750457"</w:instrText>
          </w:r>
          <w:r w:rsidR="009E4E94" w:rsidRPr="00F719DC">
            <w:rPr>
              <w:rStyle w:val="a8"/>
              <w:noProof/>
            </w:rPr>
            <w:instrText xml:space="preserve"> </w:instrText>
          </w:r>
          <w:r w:rsidR="00802F70" w:rsidRPr="00F719DC">
            <w:rPr>
              <w:rStyle w:val="a8"/>
              <w:noProof/>
            </w:rPr>
          </w:r>
          <w:r w:rsidRPr="00F719DC">
            <w:rPr>
              <w:rStyle w:val="a8"/>
              <w:noProof/>
            </w:rPr>
            <w:fldChar w:fldCharType="separate"/>
          </w:r>
          <w:r w:rsidR="009E4E94" w:rsidRPr="00F719DC">
            <w:rPr>
              <w:rStyle w:val="a8"/>
              <w:rFonts w:ascii="標楷體" w:eastAsia="標楷體" w:hAnsi="標楷體" w:hint="eastAsia"/>
              <w:bCs/>
              <w:noProof/>
            </w:rPr>
            <w:t>三、</w:t>
          </w:r>
          <w:r w:rsidR="009E4E94">
            <w:rPr>
              <w:noProof/>
              <w:kern w:val="2"/>
              <w:sz w:val="24"/>
            </w:rPr>
            <w:tab/>
          </w:r>
          <w:r w:rsidR="009E4E94" w:rsidRPr="00F719DC">
            <w:rPr>
              <w:rStyle w:val="a8"/>
              <w:rFonts w:ascii="標楷體" w:eastAsia="標楷體" w:hAnsi="標楷體" w:hint="eastAsia"/>
              <w:noProof/>
            </w:rPr>
            <w:t>統計項目定義</w:t>
          </w:r>
          <w:r w:rsidR="009E4E94">
            <w:rPr>
              <w:noProof/>
              <w:webHidden/>
            </w:rPr>
            <w:tab/>
          </w:r>
          <w:r>
            <w:rPr>
              <w:noProof/>
              <w:webHidden/>
            </w:rPr>
            <w:fldChar w:fldCharType="begin"/>
          </w:r>
          <w:r w:rsidR="009E4E94">
            <w:rPr>
              <w:noProof/>
              <w:webHidden/>
            </w:rPr>
            <w:instrText xml:space="preserve"> PAGEREF _Toc429750457 \h </w:instrText>
          </w:r>
          <w:r>
            <w:rPr>
              <w:noProof/>
              <w:webHidden/>
            </w:rPr>
          </w:r>
          <w:r>
            <w:rPr>
              <w:noProof/>
              <w:webHidden/>
            </w:rPr>
            <w:fldChar w:fldCharType="separate"/>
          </w:r>
          <w:r w:rsidR="00802F70">
            <w:rPr>
              <w:noProof/>
              <w:webHidden/>
            </w:rPr>
            <w:t>9</w:t>
          </w:r>
          <w:r>
            <w:rPr>
              <w:noProof/>
              <w:webHidden/>
            </w:rPr>
            <w:fldChar w:fldCharType="end"/>
          </w:r>
          <w:r w:rsidRPr="00F719DC">
            <w:rPr>
              <w:rStyle w:val="a8"/>
              <w:noProof/>
            </w:rPr>
            <w:fldChar w:fldCharType="end"/>
          </w:r>
        </w:p>
        <w:p w:rsidR="009E4E94" w:rsidRDefault="00E83285">
          <w:pPr>
            <w:pStyle w:val="11"/>
            <w:tabs>
              <w:tab w:val="right" w:leader="dot" w:pos="8296"/>
            </w:tabs>
            <w:rPr>
              <w:noProof/>
              <w:kern w:val="2"/>
              <w:sz w:val="24"/>
            </w:rPr>
          </w:pPr>
          <w:r w:rsidRPr="00F719DC">
            <w:rPr>
              <w:rStyle w:val="a8"/>
              <w:noProof/>
            </w:rPr>
            <w:fldChar w:fldCharType="begin"/>
          </w:r>
          <w:r w:rsidR="009E4E94" w:rsidRPr="00F719DC">
            <w:rPr>
              <w:rStyle w:val="a8"/>
              <w:noProof/>
            </w:rPr>
            <w:instrText xml:space="preserve"> </w:instrText>
          </w:r>
          <w:r w:rsidR="009E4E94">
            <w:rPr>
              <w:noProof/>
            </w:rPr>
            <w:instrText>HYPERLINK \l "_Toc429750458"</w:instrText>
          </w:r>
          <w:r w:rsidR="009E4E94" w:rsidRPr="00F719DC">
            <w:rPr>
              <w:rStyle w:val="a8"/>
              <w:noProof/>
            </w:rPr>
            <w:instrText xml:space="preserve"> </w:instrText>
          </w:r>
          <w:r w:rsidR="00802F70" w:rsidRPr="00F719DC">
            <w:rPr>
              <w:rStyle w:val="a8"/>
              <w:noProof/>
            </w:rPr>
          </w:r>
          <w:r w:rsidRPr="00F719DC">
            <w:rPr>
              <w:rStyle w:val="a8"/>
              <w:noProof/>
            </w:rPr>
            <w:fldChar w:fldCharType="separate"/>
          </w:r>
          <w:r w:rsidR="009E4E94" w:rsidRPr="00F719DC">
            <w:rPr>
              <w:rStyle w:val="a8"/>
              <w:rFonts w:ascii="標楷體" w:eastAsia="標楷體" w:hAnsi="標楷體" w:hint="eastAsia"/>
              <w:noProof/>
            </w:rPr>
            <w:t>財務比率四十五項計算公式及說明</w:t>
          </w:r>
          <w:r w:rsidR="009E4E94">
            <w:rPr>
              <w:noProof/>
              <w:webHidden/>
            </w:rPr>
            <w:tab/>
          </w:r>
          <w:r>
            <w:rPr>
              <w:noProof/>
              <w:webHidden/>
            </w:rPr>
            <w:fldChar w:fldCharType="begin"/>
          </w:r>
          <w:r w:rsidR="009E4E94">
            <w:rPr>
              <w:noProof/>
              <w:webHidden/>
            </w:rPr>
            <w:instrText xml:space="preserve"> PAGEREF _Toc429750458 \h </w:instrText>
          </w:r>
          <w:r>
            <w:rPr>
              <w:noProof/>
              <w:webHidden/>
            </w:rPr>
          </w:r>
          <w:r>
            <w:rPr>
              <w:noProof/>
              <w:webHidden/>
            </w:rPr>
            <w:fldChar w:fldCharType="separate"/>
          </w:r>
          <w:r w:rsidR="00802F70">
            <w:rPr>
              <w:noProof/>
              <w:webHidden/>
            </w:rPr>
            <w:t>11</w:t>
          </w:r>
          <w:r>
            <w:rPr>
              <w:noProof/>
              <w:webHidden/>
            </w:rPr>
            <w:fldChar w:fldCharType="end"/>
          </w:r>
          <w:r w:rsidRPr="00F719DC">
            <w:rPr>
              <w:rStyle w:val="a8"/>
              <w:noProof/>
            </w:rPr>
            <w:fldChar w:fldCharType="end"/>
          </w:r>
        </w:p>
        <w:p w:rsidR="009E4E94" w:rsidRDefault="00E83285">
          <w:pPr>
            <w:pStyle w:val="11"/>
            <w:tabs>
              <w:tab w:val="right" w:leader="dot" w:pos="8296"/>
            </w:tabs>
            <w:rPr>
              <w:noProof/>
              <w:kern w:val="2"/>
              <w:sz w:val="24"/>
            </w:rPr>
          </w:pPr>
          <w:r w:rsidRPr="00F719DC">
            <w:rPr>
              <w:rStyle w:val="a8"/>
              <w:noProof/>
            </w:rPr>
            <w:fldChar w:fldCharType="begin"/>
          </w:r>
          <w:r w:rsidR="009E4E94" w:rsidRPr="00F719DC">
            <w:rPr>
              <w:rStyle w:val="a8"/>
              <w:noProof/>
            </w:rPr>
            <w:instrText xml:space="preserve"> </w:instrText>
          </w:r>
          <w:r w:rsidR="009E4E94">
            <w:rPr>
              <w:noProof/>
            </w:rPr>
            <w:instrText>HYPERLINK \l "_Toc429750459"</w:instrText>
          </w:r>
          <w:r w:rsidR="009E4E94" w:rsidRPr="00F719DC">
            <w:rPr>
              <w:rStyle w:val="a8"/>
              <w:noProof/>
            </w:rPr>
            <w:instrText xml:space="preserve"> </w:instrText>
          </w:r>
          <w:r w:rsidR="00802F70" w:rsidRPr="00F719DC">
            <w:rPr>
              <w:rStyle w:val="a8"/>
              <w:noProof/>
            </w:rPr>
          </w:r>
          <w:r w:rsidRPr="00F719DC">
            <w:rPr>
              <w:rStyle w:val="a8"/>
              <w:noProof/>
            </w:rPr>
            <w:fldChar w:fldCharType="separate"/>
          </w:r>
          <w:r w:rsidR="009E4E94" w:rsidRPr="00F719DC">
            <w:rPr>
              <w:rStyle w:val="a8"/>
              <w:rFonts w:ascii="標楷體" w:eastAsia="標楷體" w:hAnsi="標楷體" w:cs="新細明體"/>
              <w:noProof/>
            </w:rPr>
            <w:t>IFRSs</w:t>
          </w:r>
          <w:r w:rsidR="009E4E94" w:rsidRPr="00F719DC">
            <w:rPr>
              <w:rStyle w:val="a8"/>
              <w:rFonts w:ascii="標楷體" w:eastAsia="標楷體" w:hAnsi="標楷體" w:cs="新細明體" w:hint="eastAsia"/>
              <w:noProof/>
            </w:rPr>
            <w:t>財務比率五十八項計算公式</w:t>
          </w:r>
          <w:r w:rsidR="009E4E94">
            <w:rPr>
              <w:noProof/>
              <w:webHidden/>
            </w:rPr>
            <w:tab/>
          </w:r>
          <w:r>
            <w:rPr>
              <w:noProof/>
              <w:webHidden/>
            </w:rPr>
            <w:fldChar w:fldCharType="begin"/>
          </w:r>
          <w:r w:rsidR="009E4E94">
            <w:rPr>
              <w:noProof/>
              <w:webHidden/>
            </w:rPr>
            <w:instrText xml:space="preserve"> PAGEREF _Toc429750459 \h </w:instrText>
          </w:r>
          <w:r>
            <w:rPr>
              <w:noProof/>
              <w:webHidden/>
            </w:rPr>
          </w:r>
          <w:r>
            <w:rPr>
              <w:noProof/>
              <w:webHidden/>
            </w:rPr>
            <w:fldChar w:fldCharType="separate"/>
          </w:r>
          <w:r w:rsidR="00802F70">
            <w:rPr>
              <w:noProof/>
              <w:webHidden/>
            </w:rPr>
            <w:t>15</w:t>
          </w:r>
          <w:r>
            <w:rPr>
              <w:noProof/>
              <w:webHidden/>
            </w:rPr>
            <w:fldChar w:fldCharType="end"/>
          </w:r>
          <w:r w:rsidRPr="00F719DC">
            <w:rPr>
              <w:rStyle w:val="a8"/>
              <w:noProof/>
            </w:rPr>
            <w:fldChar w:fldCharType="end"/>
          </w:r>
        </w:p>
        <w:p w:rsidR="00814C66" w:rsidRDefault="00E83285" w:rsidP="00814C66">
          <w:pPr>
            <w:spacing w:beforeLines="0" w:afterLines="0" w:line="500" w:lineRule="exact"/>
          </w:pPr>
          <w:r w:rsidRPr="00814C66">
            <w:rPr>
              <w:sz w:val="28"/>
              <w:szCs w:val="28"/>
            </w:rPr>
            <w:fldChar w:fldCharType="end"/>
          </w:r>
        </w:p>
      </w:sdtContent>
    </w:sdt>
    <w:p w:rsidR="00814C66" w:rsidRPr="00814C66" w:rsidRDefault="00814C66" w:rsidP="006B6D0C">
      <w:pPr>
        <w:spacing w:beforeLines="0" w:afterLines="0" w:line="480" w:lineRule="exact"/>
        <w:ind w:firstLine="706"/>
        <w:jc w:val="both"/>
        <w:rPr>
          <w:rFonts w:ascii="標楷體" w:eastAsia="標楷體" w:hAnsi="標楷體"/>
          <w:bCs/>
          <w:sz w:val="32"/>
          <w:szCs w:val="32"/>
        </w:rPr>
      </w:pPr>
    </w:p>
    <w:p w:rsidR="00814C66" w:rsidRDefault="00814C66" w:rsidP="006B6D0C">
      <w:pPr>
        <w:spacing w:beforeLines="0" w:afterLines="0" w:line="480" w:lineRule="exact"/>
        <w:ind w:firstLine="706"/>
        <w:jc w:val="both"/>
        <w:rPr>
          <w:rFonts w:ascii="標楷體" w:eastAsia="標楷體" w:hAnsi="標楷體"/>
          <w:bCs/>
          <w:sz w:val="32"/>
          <w:szCs w:val="32"/>
        </w:rPr>
      </w:pPr>
    </w:p>
    <w:p w:rsidR="00814C66" w:rsidRDefault="00814C66" w:rsidP="006B6D0C">
      <w:pPr>
        <w:spacing w:beforeLines="0" w:afterLines="0" w:line="480" w:lineRule="exact"/>
        <w:ind w:firstLine="706"/>
        <w:jc w:val="both"/>
        <w:rPr>
          <w:rFonts w:ascii="標楷體" w:eastAsia="標楷體" w:hAnsi="標楷體"/>
          <w:bCs/>
          <w:sz w:val="32"/>
          <w:szCs w:val="32"/>
        </w:rPr>
      </w:pPr>
    </w:p>
    <w:p w:rsidR="00814C66" w:rsidRDefault="00814C66" w:rsidP="006B6D0C">
      <w:pPr>
        <w:spacing w:beforeLines="0" w:afterLines="0" w:line="480" w:lineRule="exact"/>
        <w:ind w:firstLine="706"/>
        <w:jc w:val="both"/>
        <w:rPr>
          <w:rFonts w:ascii="標楷體" w:eastAsia="標楷體" w:hAnsi="標楷體"/>
          <w:bCs/>
          <w:sz w:val="32"/>
          <w:szCs w:val="32"/>
        </w:rPr>
      </w:pPr>
    </w:p>
    <w:p w:rsidR="00814C66" w:rsidRDefault="00814C66" w:rsidP="006B6D0C">
      <w:pPr>
        <w:spacing w:beforeLines="0" w:afterLines="0" w:line="480" w:lineRule="exact"/>
        <w:ind w:firstLine="706"/>
        <w:jc w:val="both"/>
        <w:rPr>
          <w:rFonts w:ascii="標楷體" w:eastAsia="標楷體" w:hAnsi="標楷體"/>
          <w:bCs/>
          <w:sz w:val="32"/>
          <w:szCs w:val="32"/>
        </w:rPr>
      </w:pPr>
    </w:p>
    <w:p w:rsidR="00814C66" w:rsidRDefault="00814C66" w:rsidP="006B6D0C">
      <w:pPr>
        <w:spacing w:beforeLines="0" w:afterLines="0" w:line="480" w:lineRule="exact"/>
        <w:ind w:firstLine="706"/>
        <w:jc w:val="both"/>
        <w:rPr>
          <w:rFonts w:ascii="標楷體" w:eastAsia="標楷體" w:hAnsi="標楷體"/>
          <w:bCs/>
          <w:sz w:val="32"/>
          <w:szCs w:val="32"/>
        </w:rPr>
      </w:pPr>
    </w:p>
    <w:p w:rsidR="008015E9" w:rsidRDefault="008015E9" w:rsidP="006B6D0C">
      <w:pPr>
        <w:spacing w:beforeLines="0" w:afterLines="0" w:line="480" w:lineRule="exact"/>
        <w:ind w:firstLine="706"/>
        <w:jc w:val="both"/>
        <w:rPr>
          <w:rFonts w:ascii="標楷體" w:eastAsia="標楷體" w:hAnsi="標楷體"/>
          <w:bCs/>
          <w:sz w:val="32"/>
          <w:szCs w:val="32"/>
        </w:rPr>
        <w:sectPr w:rsidR="008015E9" w:rsidSect="00EF613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567" w:gutter="0"/>
          <w:pgNumType w:start="1" w:chapStyle="1"/>
          <w:cols w:space="425"/>
          <w:docGrid w:type="lines" w:linePitch="360"/>
        </w:sectPr>
      </w:pPr>
    </w:p>
    <w:p w:rsidR="00642A08" w:rsidRDefault="00642A08" w:rsidP="006B6D0C">
      <w:pPr>
        <w:spacing w:beforeLines="0" w:afterLines="0" w:line="480" w:lineRule="exact"/>
        <w:ind w:firstLine="706"/>
        <w:jc w:val="both"/>
        <w:rPr>
          <w:rFonts w:ascii="標楷體" w:eastAsia="標楷體" w:hAnsi="標楷體"/>
          <w:bCs/>
          <w:sz w:val="32"/>
          <w:szCs w:val="32"/>
        </w:rPr>
      </w:pPr>
      <w:r>
        <w:rPr>
          <w:rFonts w:ascii="標楷體" w:eastAsia="標楷體" w:hAnsi="標楷體" w:hint="eastAsia"/>
          <w:bCs/>
          <w:sz w:val="32"/>
          <w:szCs w:val="32"/>
        </w:rPr>
        <w:lastRenderedPageBreak/>
        <w:t>本</w:t>
      </w:r>
      <w:r w:rsidRPr="000E3D55">
        <w:rPr>
          <w:rFonts w:ascii="標楷體" w:eastAsia="標楷體" w:hAnsi="標楷體" w:hint="eastAsia"/>
          <w:bCs/>
          <w:sz w:val="32"/>
          <w:szCs w:val="32"/>
        </w:rPr>
        <w:t>中心係全國唯一</w:t>
      </w:r>
      <w:r w:rsidR="00CA1922">
        <w:rPr>
          <w:rFonts w:ascii="標楷體" w:eastAsia="標楷體" w:hAnsi="標楷體" w:hint="eastAsia"/>
          <w:bCs/>
          <w:sz w:val="32"/>
          <w:szCs w:val="32"/>
        </w:rPr>
        <w:t>相對</w:t>
      </w:r>
      <w:r w:rsidRPr="000E3D55">
        <w:rPr>
          <w:rFonts w:ascii="標楷體" w:eastAsia="標楷體" w:hAnsi="標楷體" w:hint="eastAsia"/>
          <w:bCs/>
          <w:sz w:val="32"/>
          <w:szCs w:val="32"/>
        </w:rPr>
        <w:t>完整蒐集建置會計師簽證企業財務報告</w:t>
      </w:r>
      <w:r w:rsidRPr="000E3D55">
        <w:rPr>
          <w:rFonts w:ascii="標楷體" w:eastAsia="標楷體" w:hAnsi="標楷體"/>
          <w:bCs/>
          <w:sz w:val="32"/>
          <w:szCs w:val="32"/>
        </w:rPr>
        <w:t>(</w:t>
      </w:r>
      <w:proofErr w:type="gramStart"/>
      <w:r w:rsidRPr="000E3D55">
        <w:rPr>
          <w:rFonts w:ascii="標楷體" w:eastAsia="標楷體" w:hAnsi="標楷體" w:hint="eastAsia"/>
          <w:bCs/>
          <w:sz w:val="32"/>
          <w:szCs w:val="32"/>
        </w:rPr>
        <w:t>下稱財報</w:t>
      </w:r>
      <w:proofErr w:type="gramEnd"/>
      <w:r w:rsidRPr="000E3D55">
        <w:rPr>
          <w:rFonts w:ascii="標楷體" w:eastAsia="標楷體" w:hAnsi="標楷體"/>
          <w:bCs/>
          <w:sz w:val="32"/>
          <w:szCs w:val="32"/>
        </w:rPr>
        <w:t>)</w:t>
      </w:r>
      <w:r w:rsidRPr="000E3D55">
        <w:rPr>
          <w:rFonts w:ascii="標楷體" w:eastAsia="標楷體" w:hAnsi="標楷體" w:hint="eastAsia"/>
          <w:bCs/>
          <w:sz w:val="32"/>
          <w:szCs w:val="32"/>
        </w:rPr>
        <w:t>之機構</w:t>
      </w:r>
      <w:r w:rsidR="00CA1922">
        <w:rPr>
          <w:rStyle w:val="a7"/>
          <w:rFonts w:ascii="標楷體" w:eastAsia="標楷體" w:hAnsi="標楷體"/>
          <w:bCs/>
          <w:sz w:val="32"/>
          <w:szCs w:val="32"/>
        </w:rPr>
        <w:footnoteReference w:id="1"/>
      </w:r>
      <w:r w:rsidRPr="000E3D55">
        <w:rPr>
          <w:rFonts w:ascii="標楷體" w:eastAsia="標楷體" w:hAnsi="標楷體" w:hint="eastAsia"/>
          <w:bCs/>
          <w:sz w:val="32"/>
          <w:szCs w:val="32"/>
        </w:rPr>
        <w:t>，</w:t>
      </w:r>
      <w:r w:rsidR="00CA1922">
        <w:rPr>
          <w:rFonts w:ascii="標楷體" w:eastAsia="標楷體" w:hAnsi="標楷體" w:hint="eastAsia"/>
          <w:bCs/>
          <w:sz w:val="32"/>
          <w:szCs w:val="32"/>
        </w:rPr>
        <w:t>年</w:t>
      </w:r>
      <w:r w:rsidRPr="000E3D55">
        <w:rPr>
          <w:rFonts w:ascii="標楷體" w:eastAsia="標楷體" w:hAnsi="標楷體" w:hint="eastAsia"/>
          <w:bCs/>
          <w:sz w:val="32"/>
          <w:szCs w:val="32"/>
        </w:rPr>
        <w:t>資料量約為</w:t>
      </w:r>
      <w:r w:rsidRPr="000E3D55">
        <w:rPr>
          <w:rFonts w:ascii="標楷體" w:eastAsia="標楷體" w:hAnsi="標楷體"/>
          <w:bCs/>
          <w:sz w:val="32"/>
          <w:szCs w:val="32"/>
        </w:rPr>
        <w:t>3</w:t>
      </w:r>
      <w:r w:rsidRPr="000E3D55">
        <w:rPr>
          <w:rFonts w:ascii="標楷體" w:eastAsia="標楷體" w:hAnsi="標楷體" w:hint="eastAsia"/>
          <w:bCs/>
          <w:sz w:val="32"/>
          <w:szCs w:val="32"/>
        </w:rPr>
        <w:t>萬</w:t>
      </w:r>
      <w:r w:rsidRPr="000E3D55">
        <w:rPr>
          <w:rFonts w:ascii="標楷體" w:eastAsia="標楷體" w:hAnsi="標楷體"/>
          <w:bCs/>
          <w:sz w:val="32"/>
          <w:szCs w:val="32"/>
        </w:rPr>
        <w:t>5</w:t>
      </w:r>
      <w:r w:rsidRPr="000E3D55">
        <w:rPr>
          <w:rFonts w:ascii="標楷體" w:eastAsia="標楷體" w:hAnsi="標楷體" w:hint="eastAsia"/>
          <w:bCs/>
          <w:sz w:val="32"/>
          <w:szCs w:val="32"/>
        </w:rPr>
        <w:t>千</w:t>
      </w:r>
      <w:r w:rsidR="00CA1922">
        <w:rPr>
          <w:rFonts w:ascii="標楷體" w:eastAsia="標楷體" w:hAnsi="標楷體" w:hint="eastAsia"/>
          <w:bCs/>
          <w:sz w:val="32"/>
          <w:szCs w:val="32"/>
        </w:rPr>
        <w:t>本</w:t>
      </w:r>
      <w:r w:rsidRPr="000E3D55">
        <w:rPr>
          <w:rFonts w:ascii="標楷體" w:eastAsia="標楷體" w:hAnsi="標楷體" w:hint="eastAsia"/>
          <w:bCs/>
          <w:sz w:val="32"/>
          <w:szCs w:val="32"/>
        </w:rPr>
        <w:t>財報，每年據以彙編</w:t>
      </w:r>
      <w:r>
        <w:rPr>
          <w:rFonts w:ascii="標楷體" w:eastAsia="標楷體" w:hAnsi="標楷體" w:hint="eastAsia"/>
          <w:bCs/>
          <w:sz w:val="32"/>
          <w:szCs w:val="32"/>
        </w:rPr>
        <w:t>產</w:t>
      </w:r>
      <w:r w:rsidRPr="000E3D55">
        <w:rPr>
          <w:rFonts w:ascii="標楷體" w:eastAsia="標楷體" w:hAnsi="標楷體" w:hint="eastAsia"/>
          <w:bCs/>
          <w:sz w:val="32"/>
          <w:szCs w:val="32"/>
        </w:rPr>
        <w:t>業財務比率及財務結構資訊，提供</w:t>
      </w:r>
      <w:r w:rsidR="00CA1922">
        <w:rPr>
          <w:rFonts w:ascii="標楷體" w:eastAsia="標楷體" w:hAnsi="標楷體" w:hint="eastAsia"/>
          <w:bCs/>
          <w:sz w:val="32"/>
          <w:szCs w:val="32"/>
        </w:rPr>
        <w:t>使用者</w:t>
      </w:r>
      <w:r w:rsidRPr="000E3D55">
        <w:rPr>
          <w:rFonts w:ascii="標楷體" w:eastAsia="標楷體" w:hAnsi="標楷體" w:hint="eastAsia"/>
          <w:bCs/>
          <w:sz w:val="32"/>
          <w:szCs w:val="32"/>
        </w:rPr>
        <w:t>衡量</w:t>
      </w:r>
      <w:r w:rsidR="00CA1922">
        <w:rPr>
          <w:rFonts w:ascii="標楷體" w:eastAsia="標楷體" w:hAnsi="標楷體" w:hint="eastAsia"/>
          <w:bCs/>
          <w:sz w:val="32"/>
          <w:szCs w:val="32"/>
        </w:rPr>
        <w:t>各別產</w:t>
      </w:r>
      <w:r w:rsidR="00144034">
        <w:rPr>
          <w:rFonts w:ascii="標楷體" w:eastAsia="標楷體" w:hAnsi="標楷體" w:hint="eastAsia"/>
          <w:bCs/>
          <w:sz w:val="32"/>
          <w:szCs w:val="32"/>
        </w:rPr>
        <w:t>業之</w:t>
      </w:r>
      <w:r w:rsidRPr="000E3D55">
        <w:rPr>
          <w:rFonts w:ascii="標楷體" w:eastAsia="標楷體" w:hAnsi="標楷體" w:hint="eastAsia"/>
          <w:bCs/>
          <w:sz w:val="32"/>
          <w:szCs w:val="32"/>
        </w:rPr>
        <w:t>財務狀況。</w:t>
      </w:r>
      <w:r w:rsidR="00CA1922">
        <w:rPr>
          <w:rFonts w:ascii="標楷體" w:eastAsia="標楷體" w:hAnsi="標楷體" w:hint="eastAsia"/>
          <w:bCs/>
          <w:sz w:val="32"/>
          <w:szCs w:val="32"/>
        </w:rPr>
        <w:t>另</w:t>
      </w:r>
      <w:r w:rsidRPr="000E3D55">
        <w:rPr>
          <w:rFonts w:ascii="標楷體" w:eastAsia="標楷體" w:hAnsi="標楷體" w:hint="eastAsia"/>
          <w:bCs/>
          <w:sz w:val="32"/>
          <w:szCs w:val="32"/>
        </w:rPr>
        <w:t>依據金融機構按月報送</w:t>
      </w:r>
      <w:r w:rsidR="009733AB">
        <w:rPr>
          <w:rFonts w:ascii="標楷體" w:eastAsia="標楷體" w:hAnsi="標楷體" w:hint="eastAsia"/>
          <w:bCs/>
          <w:sz w:val="32"/>
          <w:szCs w:val="32"/>
        </w:rPr>
        <w:t>本</w:t>
      </w:r>
      <w:r w:rsidRPr="000E3D55">
        <w:rPr>
          <w:rFonts w:ascii="標楷體" w:eastAsia="標楷體" w:hAnsi="標楷體" w:hint="eastAsia"/>
          <w:bCs/>
          <w:sz w:val="32"/>
          <w:szCs w:val="32"/>
        </w:rPr>
        <w:t>中心約16萬企業戶授信餘額</w:t>
      </w:r>
      <w:r w:rsidR="00DF3BC7">
        <w:rPr>
          <w:rStyle w:val="a7"/>
          <w:rFonts w:ascii="標楷體" w:eastAsia="標楷體" w:hAnsi="標楷體"/>
          <w:bCs/>
          <w:sz w:val="32"/>
          <w:szCs w:val="32"/>
        </w:rPr>
        <w:footnoteReference w:id="2"/>
      </w:r>
      <w:r w:rsidRPr="000E3D55">
        <w:rPr>
          <w:rFonts w:ascii="標楷體" w:eastAsia="標楷體" w:hAnsi="標楷體" w:hint="eastAsia"/>
          <w:bCs/>
          <w:sz w:val="32"/>
          <w:szCs w:val="32"/>
        </w:rPr>
        <w:t>，可擷取統計各行業之授信餘額、授信類別、用途別</w:t>
      </w:r>
      <w:r w:rsidR="00011A6B">
        <w:rPr>
          <w:rFonts w:ascii="標楷體" w:eastAsia="標楷體" w:hAnsi="標楷體" w:hint="eastAsia"/>
          <w:bCs/>
          <w:sz w:val="32"/>
          <w:szCs w:val="32"/>
        </w:rPr>
        <w:t>、擔保</w:t>
      </w:r>
      <w:proofErr w:type="gramStart"/>
      <w:r w:rsidR="00011A6B">
        <w:rPr>
          <w:rFonts w:ascii="標楷體" w:eastAsia="標楷體" w:hAnsi="標楷體" w:hint="eastAsia"/>
          <w:bCs/>
          <w:sz w:val="32"/>
          <w:szCs w:val="32"/>
        </w:rPr>
        <w:t>品徵提</w:t>
      </w:r>
      <w:proofErr w:type="gramEnd"/>
      <w:r w:rsidR="00011A6B">
        <w:rPr>
          <w:rFonts w:ascii="標楷體" w:eastAsia="標楷體" w:hAnsi="標楷體" w:hint="eastAsia"/>
          <w:bCs/>
          <w:sz w:val="32"/>
          <w:szCs w:val="32"/>
        </w:rPr>
        <w:t>與否</w:t>
      </w:r>
      <w:r w:rsidRPr="000E3D55">
        <w:rPr>
          <w:rFonts w:ascii="標楷體" w:eastAsia="標楷體" w:hAnsi="標楷體" w:hint="eastAsia"/>
          <w:bCs/>
          <w:sz w:val="32"/>
          <w:szCs w:val="32"/>
        </w:rPr>
        <w:t>及違約率等相關資料。</w:t>
      </w:r>
    </w:p>
    <w:p w:rsidR="00642A08" w:rsidRPr="00DF3BC7" w:rsidRDefault="00DF3BC7" w:rsidP="006B6D0C">
      <w:pPr>
        <w:spacing w:beforeLines="0" w:afterLines="0" w:line="480" w:lineRule="exact"/>
        <w:ind w:firstLine="706"/>
        <w:jc w:val="both"/>
        <w:rPr>
          <w:rFonts w:ascii="標楷體" w:eastAsia="標楷體" w:hAnsi="標楷體"/>
          <w:bCs/>
          <w:sz w:val="32"/>
          <w:szCs w:val="32"/>
        </w:rPr>
      </w:pPr>
      <w:r>
        <w:rPr>
          <w:rFonts w:ascii="標楷體" w:eastAsia="標楷體" w:hAnsi="標楷體" w:hint="eastAsia"/>
          <w:bCs/>
          <w:sz w:val="32"/>
          <w:szCs w:val="32"/>
        </w:rPr>
        <w:t>應用上述資料可</w:t>
      </w:r>
      <w:r w:rsidR="00642A08" w:rsidRPr="000E3D55">
        <w:rPr>
          <w:rFonts w:ascii="標楷體" w:eastAsia="標楷體" w:hAnsi="標楷體" w:hint="eastAsia"/>
          <w:bCs/>
          <w:sz w:val="32"/>
          <w:szCs w:val="32"/>
        </w:rPr>
        <w:t>產出</w:t>
      </w:r>
      <w:r w:rsidR="00642A08">
        <w:rPr>
          <w:rFonts w:ascii="標楷體" w:eastAsia="標楷體" w:hAnsi="標楷體" w:hint="eastAsia"/>
          <w:bCs/>
          <w:sz w:val="32"/>
          <w:szCs w:val="32"/>
        </w:rPr>
        <w:t>產</w:t>
      </w:r>
      <w:r w:rsidR="00642A08" w:rsidRPr="000E3D55">
        <w:rPr>
          <w:rFonts w:ascii="標楷體" w:eastAsia="標楷體" w:hAnsi="標楷體" w:hint="eastAsia"/>
          <w:bCs/>
          <w:sz w:val="32"/>
          <w:szCs w:val="32"/>
        </w:rPr>
        <w:t>業</w:t>
      </w:r>
      <w:r>
        <w:rPr>
          <w:rFonts w:ascii="標楷體" w:eastAsia="標楷體" w:hAnsi="標楷體" w:hint="eastAsia"/>
          <w:bCs/>
          <w:sz w:val="32"/>
          <w:szCs w:val="32"/>
        </w:rPr>
        <w:t>別</w:t>
      </w:r>
      <w:r w:rsidR="00642A08" w:rsidRPr="000E3D55">
        <w:rPr>
          <w:rFonts w:ascii="標楷體" w:eastAsia="標楷體" w:hAnsi="標楷體" w:hint="eastAsia"/>
          <w:bCs/>
          <w:sz w:val="32"/>
          <w:szCs w:val="32"/>
        </w:rPr>
        <w:t>財務比率、財務結構及</w:t>
      </w:r>
      <w:proofErr w:type="gramStart"/>
      <w:r w:rsidR="00642A08" w:rsidRPr="000E3D55">
        <w:rPr>
          <w:rFonts w:ascii="標楷體" w:eastAsia="標楷體" w:hAnsi="標楷體" w:hint="eastAsia"/>
          <w:bCs/>
          <w:sz w:val="32"/>
          <w:szCs w:val="32"/>
        </w:rPr>
        <w:t>授信</w:t>
      </w:r>
      <w:r w:rsidR="00642A08">
        <w:rPr>
          <w:rFonts w:ascii="標楷體" w:eastAsia="標楷體" w:hAnsi="標楷體" w:hint="eastAsia"/>
          <w:bCs/>
          <w:sz w:val="32"/>
          <w:szCs w:val="32"/>
        </w:rPr>
        <w:t>彙總</w:t>
      </w:r>
      <w:proofErr w:type="gramEnd"/>
      <w:r w:rsidR="00642A08" w:rsidRPr="000E3D55">
        <w:rPr>
          <w:rFonts w:ascii="標楷體" w:eastAsia="標楷體" w:hAnsi="標楷體" w:hint="eastAsia"/>
          <w:bCs/>
          <w:sz w:val="32"/>
          <w:szCs w:val="32"/>
        </w:rPr>
        <w:t>三項資訊，提供</w:t>
      </w:r>
      <w:r>
        <w:rPr>
          <w:rFonts w:ascii="標楷體" w:eastAsia="標楷體" w:hAnsi="標楷體" w:hint="eastAsia"/>
          <w:bCs/>
          <w:sz w:val="32"/>
          <w:szCs w:val="32"/>
        </w:rPr>
        <w:t>民眾</w:t>
      </w:r>
      <w:r w:rsidR="00642A08" w:rsidRPr="000E3D55">
        <w:rPr>
          <w:rFonts w:ascii="標楷體" w:eastAsia="標楷體" w:hAnsi="標楷體" w:hint="eastAsia"/>
          <w:bCs/>
          <w:sz w:val="32"/>
          <w:szCs w:val="32"/>
        </w:rPr>
        <w:t>運用。</w:t>
      </w:r>
    </w:p>
    <w:p w:rsidR="00B5481A" w:rsidRDefault="00642A08" w:rsidP="00814C66">
      <w:pPr>
        <w:pStyle w:val="a3"/>
        <w:numPr>
          <w:ilvl w:val="0"/>
          <w:numId w:val="1"/>
        </w:numPr>
        <w:spacing w:beforeLines="0" w:afterLines="0"/>
        <w:ind w:leftChars="0"/>
        <w:outlineLvl w:val="0"/>
        <w:rPr>
          <w:rFonts w:ascii="標楷體" w:eastAsia="標楷體" w:hAnsi="標楷體"/>
          <w:bCs/>
          <w:color w:val="000000"/>
          <w:sz w:val="32"/>
          <w:szCs w:val="32"/>
        </w:rPr>
      </w:pPr>
      <w:bookmarkStart w:id="0" w:name="_Toc429750437"/>
      <w:r w:rsidRPr="00642A08">
        <w:rPr>
          <w:rFonts w:ascii="標楷體" w:eastAsia="標楷體" w:hAnsi="標楷體" w:cs="Times New Roman" w:hint="eastAsia"/>
          <w:sz w:val="32"/>
          <w:szCs w:val="32"/>
        </w:rPr>
        <w:t>產</w:t>
      </w:r>
      <w:r w:rsidRPr="00642A08">
        <w:rPr>
          <w:rFonts w:ascii="標楷體" w:eastAsia="標楷體" w:hAnsi="標楷體" w:hint="eastAsia"/>
          <w:bCs/>
          <w:color w:val="000000"/>
          <w:sz w:val="32"/>
          <w:szCs w:val="32"/>
        </w:rPr>
        <w:t>業財務比率資訊</w:t>
      </w:r>
      <w:bookmarkEnd w:id="0"/>
    </w:p>
    <w:p w:rsidR="00094814" w:rsidRDefault="00094814" w:rsidP="00094814">
      <w:pPr>
        <w:pStyle w:val="a3"/>
        <w:spacing w:beforeLines="0" w:afterLines="0" w:line="0" w:lineRule="atLeast"/>
        <w:ind w:leftChars="0" w:left="720"/>
        <w:rPr>
          <w:rFonts w:ascii="標楷體" w:eastAsia="標楷體" w:hAnsi="標楷體" w:cs="Times New Roman"/>
          <w:sz w:val="32"/>
          <w:szCs w:val="32"/>
        </w:rPr>
      </w:pPr>
      <w:r w:rsidRPr="00207D38">
        <w:rPr>
          <w:rFonts w:ascii="標楷體" w:eastAsia="標楷體" w:hAnsi="標楷體" w:cs="Times New Roman" w:hint="eastAsia"/>
          <w:sz w:val="32"/>
          <w:szCs w:val="32"/>
        </w:rPr>
        <w:t>瞭解各</w:t>
      </w:r>
      <w:r w:rsidRPr="00207D38">
        <w:rPr>
          <w:rFonts w:ascii="標楷體" w:eastAsia="標楷體" w:hAnsi="標楷體" w:hint="eastAsia"/>
          <w:sz w:val="32"/>
          <w:szCs w:val="32"/>
        </w:rPr>
        <w:t>產</w:t>
      </w:r>
      <w:r w:rsidRPr="00207D38">
        <w:rPr>
          <w:rFonts w:ascii="標楷體" w:eastAsia="標楷體" w:hAnsi="標楷體" w:cs="Times New Roman" w:hint="eastAsia"/>
          <w:sz w:val="32"/>
          <w:szCs w:val="32"/>
        </w:rPr>
        <w:t>業之財務概況，可</w:t>
      </w:r>
      <w:r>
        <w:rPr>
          <w:rFonts w:ascii="標楷體" w:eastAsia="標楷體" w:hAnsi="標楷體" w:cs="Times New Roman" w:hint="eastAsia"/>
          <w:sz w:val="32"/>
          <w:szCs w:val="32"/>
        </w:rPr>
        <w:t>作為</w:t>
      </w:r>
      <w:r w:rsidRPr="00207D38">
        <w:rPr>
          <w:rFonts w:ascii="標楷體" w:eastAsia="標楷體" w:hAnsi="標楷體" w:hint="eastAsia"/>
          <w:sz w:val="32"/>
          <w:szCs w:val="32"/>
        </w:rPr>
        <w:t>欲分析之</w:t>
      </w:r>
      <w:r w:rsidRPr="00207D38">
        <w:rPr>
          <w:rFonts w:ascii="標楷體" w:eastAsia="標楷體" w:hAnsi="標楷體" w:cs="Times New Roman" w:hint="eastAsia"/>
          <w:sz w:val="32"/>
          <w:szCs w:val="32"/>
        </w:rPr>
        <w:t>企業各項財務比率適當之</w:t>
      </w:r>
      <w:r>
        <w:rPr>
          <w:rFonts w:ascii="標楷體" w:eastAsia="標楷體" w:hAnsi="標楷體" w:cs="Times New Roman" w:hint="eastAsia"/>
          <w:sz w:val="32"/>
          <w:szCs w:val="32"/>
        </w:rPr>
        <w:t>比較</w:t>
      </w:r>
      <w:r w:rsidRPr="00207D38">
        <w:rPr>
          <w:rFonts w:ascii="標楷體" w:eastAsia="標楷體" w:hAnsi="標楷體" w:cs="Times New Roman" w:hint="eastAsia"/>
          <w:sz w:val="32"/>
          <w:szCs w:val="32"/>
        </w:rPr>
        <w:t>標準。</w:t>
      </w:r>
      <w:proofErr w:type="gramStart"/>
      <w:r w:rsidR="00AC4434">
        <w:rPr>
          <w:rFonts w:ascii="標楷體" w:eastAsia="標楷體" w:hAnsi="標楷體" w:cs="Times New Roman" w:hint="eastAsia"/>
          <w:sz w:val="32"/>
          <w:szCs w:val="32"/>
        </w:rPr>
        <w:t>惟</w:t>
      </w:r>
      <w:proofErr w:type="gramEnd"/>
      <w:r w:rsidR="00AC4434">
        <w:rPr>
          <w:rFonts w:ascii="標楷體" w:eastAsia="標楷體" w:hAnsi="標楷體" w:cs="Times New Roman" w:hint="eastAsia"/>
          <w:sz w:val="32"/>
          <w:szCs w:val="32"/>
        </w:rPr>
        <w:t>不同會計編製基礎不適宜並列比較與分析，故本中心</w:t>
      </w:r>
      <w:proofErr w:type="gramStart"/>
      <w:r w:rsidR="00AC4434">
        <w:rPr>
          <w:rFonts w:ascii="標楷體" w:eastAsia="標楷體" w:hAnsi="標楷體" w:cs="Times New Roman" w:hint="eastAsia"/>
          <w:sz w:val="32"/>
          <w:szCs w:val="32"/>
        </w:rPr>
        <w:t>依樣本編製</w:t>
      </w:r>
      <w:proofErr w:type="gramEnd"/>
      <w:r w:rsidR="00AC4434">
        <w:rPr>
          <w:rFonts w:ascii="標楷體" w:eastAsia="標楷體" w:hAnsi="標楷體" w:cs="Times New Roman" w:hint="eastAsia"/>
          <w:sz w:val="32"/>
          <w:szCs w:val="32"/>
        </w:rPr>
        <w:t>基礎分群進行統計，茲說明如下：</w:t>
      </w:r>
    </w:p>
    <w:p w:rsidR="00562F9F" w:rsidRDefault="00233231">
      <w:pPr>
        <w:pStyle w:val="a3"/>
        <w:numPr>
          <w:ilvl w:val="0"/>
          <w:numId w:val="12"/>
        </w:numPr>
        <w:spacing w:beforeLines="0" w:afterLines="0" w:line="0" w:lineRule="atLeast"/>
        <w:ind w:leftChars="0"/>
        <w:outlineLvl w:val="1"/>
        <w:rPr>
          <w:rFonts w:ascii="標楷體" w:eastAsia="標楷體" w:hAnsi="標楷體"/>
          <w:bCs/>
          <w:color w:val="000000"/>
          <w:sz w:val="32"/>
          <w:szCs w:val="32"/>
        </w:rPr>
      </w:pPr>
      <w:bookmarkStart w:id="1" w:name="_Toc429750438"/>
      <w:r>
        <w:rPr>
          <w:rFonts w:ascii="標楷體" w:eastAsia="標楷體" w:hAnsi="標楷體" w:cs="Times New Roman" w:hint="eastAsia"/>
          <w:sz w:val="32"/>
          <w:szCs w:val="32"/>
        </w:rPr>
        <w:t>ROC GAAP</w:t>
      </w:r>
      <w:r w:rsidR="00011A6B">
        <w:rPr>
          <w:rFonts w:ascii="標楷體" w:eastAsia="標楷體" w:hAnsi="標楷體" w:cs="Times New Roman" w:hint="eastAsia"/>
          <w:sz w:val="32"/>
          <w:szCs w:val="32"/>
        </w:rPr>
        <w:t>(一般公認會計原則)編製基礎</w:t>
      </w:r>
      <w:bookmarkEnd w:id="1"/>
    </w:p>
    <w:p w:rsidR="00562F9F" w:rsidRDefault="00642A08">
      <w:pPr>
        <w:pStyle w:val="a3"/>
        <w:numPr>
          <w:ilvl w:val="0"/>
          <w:numId w:val="2"/>
        </w:numPr>
        <w:spacing w:beforeLines="0" w:afterLines="0"/>
        <w:ind w:leftChars="0"/>
        <w:outlineLvl w:val="2"/>
        <w:rPr>
          <w:rFonts w:ascii="標楷體" w:eastAsia="標楷體" w:hAnsi="標楷體"/>
          <w:bCs/>
          <w:color w:val="000000"/>
          <w:sz w:val="32"/>
          <w:szCs w:val="32"/>
        </w:rPr>
      </w:pPr>
      <w:bookmarkStart w:id="2" w:name="_Toc429750439"/>
      <w:r w:rsidRPr="000E3D55">
        <w:rPr>
          <w:rFonts w:ascii="標楷體" w:eastAsia="標楷體" w:hAnsi="標楷體" w:hint="eastAsia"/>
          <w:bCs/>
          <w:color w:val="000000"/>
          <w:sz w:val="32"/>
          <w:szCs w:val="32"/>
        </w:rPr>
        <w:t>資訊範圍及對象</w:t>
      </w:r>
      <w:bookmarkEnd w:id="2"/>
    </w:p>
    <w:p w:rsidR="006B6D0C" w:rsidRPr="006B6D0C" w:rsidRDefault="006B6D0C" w:rsidP="006B6D0C">
      <w:pPr>
        <w:pStyle w:val="a3"/>
        <w:spacing w:beforeLines="0" w:afterLines="0" w:line="500" w:lineRule="exact"/>
        <w:ind w:leftChars="0" w:left="1440"/>
        <w:jc w:val="both"/>
        <w:rPr>
          <w:rFonts w:ascii="標楷體" w:eastAsia="標楷體" w:hAnsi="標楷體"/>
          <w:sz w:val="32"/>
          <w:szCs w:val="32"/>
        </w:rPr>
      </w:pPr>
      <w:r w:rsidRPr="006B6D0C">
        <w:rPr>
          <w:rFonts w:ascii="標楷體" w:eastAsia="標楷體" w:hAnsi="標楷體" w:hint="eastAsia"/>
          <w:bCs/>
          <w:color w:val="000000"/>
          <w:sz w:val="32"/>
          <w:szCs w:val="32"/>
        </w:rPr>
        <w:t>以</w:t>
      </w:r>
      <w:r w:rsidR="006654E8">
        <w:rPr>
          <w:rFonts w:ascii="標楷體" w:eastAsia="標楷體" w:hAnsi="標楷體" w:hint="eastAsia"/>
          <w:bCs/>
          <w:color w:val="000000"/>
          <w:sz w:val="32"/>
          <w:szCs w:val="32"/>
        </w:rPr>
        <w:t>本中心蒐集之</w:t>
      </w:r>
      <w:r w:rsidRPr="006B6D0C">
        <w:rPr>
          <w:rFonts w:ascii="標楷體" w:eastAsia="標楷體" w:hAnsi="標楷體" w:hint="eastAsia"/>
          <w:bCs/>
          <w:color w:val="000000"/>
          <w:sz w:val="32"/>
          <w:szCs w:val="32"/>
        </w:rPr>
        <w:t>會計師</w:t>
      </w:r>
      <w:r w:rsidRPr="006B6D0C">
        <w:rPr>
          <w:rFonts w:ascii="標楷體" w:eastAsia="標楷體" w:hAnsi="標楷體" w:hint="eastAsia"/>
          <w:sz w:val="32"/>
          <w:szCs w:val="32"/>
        </w:rPr>
        <w:t>查核簽證年度財務報表為統計範圍，惟若干企業營運狀態較特殊者(設立未滿一年、營業收入為負值、淨值為負值、查核報告書之簽證意見為否定意見或無法表示意見等)，則不予納入。</w:t>
      </w:r>
    </w:p>
    <w:p w:rsidR="00642A08" w:rsidRDefault="006B6D0C" w:rsidP="006654E8">
      <w:pPr>
        <w:pStyle w:val="a3"/>
        <w:spacing w:beforeLines="0" w:afterLines="0" w:line="500" w:lineRule="exact"/>
        <w:ind w:leftChars="0" w:left="1440"/>
        <w:jc w:val="both"/>
        <w:rPr>
          <w:rFonts w:ascii="標楷體" w:eastAsia="標楷體" w:hAnsi="標楷體"/>
          <w:bCs/>
          <w:color w:val="000000"/>
          <w:sz w:val="32"/>
          <w:szCs w:val="32"/>
        </w:rPr>
      </w:pPr>
      <w:r w:rsidRPr="006654E8">
        <w:rPr>
          <w:rFonts w:ascii="標楷體" w:eastAsia="標楷體" w:hAnsi="標楷體" w:hint="eastAsia"/>
          <w:bCs/>
          <w:color w:val="000000"/>
          <w:sz w:val="32"/>
          <w:szCs w:val="32"/>
        </w:rPr>
        <w:t>上市櫃</w:t>
      </w:r>
      <w:r w:rsidR="006654E8">
        <w:rPr>
          <w:rFonts w:ascii="標楷體" w:eastAsia="標楷體" w:hAnsi="標楷體" w:hint="eastAsia"/>
          <w:bCs/>
          <w:color w:val="000000"/>
          <w:sz w:val="32"/>
          <w:szCs w:val="32"/>
        </w:rPr>
        <w:t>/</w:t>
      </w:r>
      <w:proofErr w:type="gramStart"/>
      <w:r w:rsidR="006654E8">
        <w:rPr>
          <w:rFonts w:ascii="標楷體" w:eastAsia="標楷體" w:hAnsi="標楷體" w:hint="eastAsia"/>
          <w:bCs/>
          <w:color w:val="000000"/>
          <w:sz w:val="32"/>
          <w:szCs w:val="32"/>
        </w:rPr>
        <w:t>興櫃</w:t>
      </w:r>
      <w:r w:rsidRPr="006654E8">
        <w:rPr>
          <w:rFonts w:ascii="標楷體" w:eastAsia="標楷體" w:hAnsi="標楷體" w:hint="eastAsia"/>
          <w:bCs/>
          <w:color w:val="000000"/>
          <w:sz w:val="32"/>
          <w:szCs w:val="32"/>
        </w:rPr>
        <w:t>公司</w:t>
      </w:r>
      <w:proofErr w:type="gramEnd"/>
      <w:r w:rsidRPr="006654E8">
        <w:rPr>
          <w:rFonts w:ascii="標楷體" w:eastAsia="標楷體" w:hAnsi="標楷體" w:hint="eastAsia"/>
          <w:bCs/>
          <w:color w:val="000000"/>
          <w:sz w:val="32"/>
          <w:szCs w:val="32"/>
        </w:rPr>
        <w:t>於102</w:t>
      </w:r>
      <w:r w:rsidRPr="006654E8">
        <w:rPr>
          <w:rFonts w:ascii="標楷體" w:eastAsia="標楷體" w:hAnsi="標楷體"/>
          <w:bCs/>
          <w:color w:val="000000"/>
          <w:sz w:val="32"/>
          <w:szCs w:val="32"/>
        </w:rPr>
        <w:t xml:space="preserve"> </w:t>
      </w:r>
      <w:r w:rsidRPr="006654E8">
        <w:rPr>
          <w:rFonts w:ascii="標楷體" w:eastAsia="標楷體" w:hAnsi="標楷體" w:hint="eastAsia"/>
          <w:bCs/>
          <w:color w:val="000000"/>
          <w:sz w:val="32"/>
          <w:szCs w:val="32"/>
        </w:rPr>
        <w:t>年度</w:t>
      </w:r>
      <w:r w:rsidR="006654E8">
        <w:rPr>
          <w:rFonts w:ascii="標楷體" w:eastAsia="標楷體" w:hAnsi="標楷體" w:hint="eastAsia"/>
          <w:bCs/>
          <w:color w:val="000000"/>
          <w:sz w:val="32"/>
          <w:szCs w:val="32"/>
        </w:rPr>
        <w:t>改以</w:t>
      </w:r>
      <w:r w:rsidRPr="006654E8">
        <w:rPr>
          <w:rFonts w:ascii="標楷體" w:eastAsia="標楷體" w:hAnsi="標楷體"/>
          <w:bCs/>
          <w:color w:val="000000"/>
          <w:sz w:val="32"/>
          <w:szCs w:val="32"/>
        </w:rPr>
        <w:t>IFRS</w:t>
      </w:r>
      <w:r w:rsidR="00011A6B">
        <w:rPr>
          <w:rFonts w:ascii="標楷體" w:eastAsia="標楷體" w:hAnsi="標楷體" w:hint="eastAsia"/>
          <w:bCs/>
          <w:color w:val="000000"/>
          <w:sz w:val="32"/>
          <w:szCs w:val="32"/>
        </w:rPr>
        <w:t>s</w:t>
      </w:r>
      <w:r w:rsidR="006654E8">
        <w:rPr>
          <w:rFonts w:ascii="標楷體" w:eastAsia="標楷體" w:hAnsi="標楷體" w:hint="eastAsia"/>
          <w:bCs/>
          <w:color w:val="000000"/>
          <w:sz w:val="32"/>
          <w:szCs w:val="32"/>
        </w:rPr>
        <w:t>(</w:t>
      </w:r>
      <w:hyperlink r:id="rId14" w:history="1">
        <w:r w:rsidR="006654E8" w:rsidRPr="006654E8">
          <w:rPr>
            <w:rFonts w:ascii="標楷體" w:eastAsia="標楷體" w:hAnsi="標楷體"/>
            <w:bCs/>
            <w:color w:val="000000"/>
            <w:sz w:val="32"/>
            <w:szCs w:val="32"/>
          </w:rPr>
          <w:t>國際財務報導準則</w:t>
        </w:r>
      </w:hyperlink>
      <w:r w:rsidR="006654E8">
        <w:rPr>
          <w:rFonts w:ascii="標楷體" w:eastAsia="標楷體" w:hAnsi="標楷體" w:hint="eastAsia"/>
          <w:bCs/>
          <w:color w:val="000000"/>
          <w:sz w:val="32"/>
          <w:szCs w:val="32"/>
        </w:rPr>
        <w:t>)編製</w:t>
      </w:r>
      <w:r w:rsidRPr="006654E8">
        <w:rPr>
          <w:rFonts w:ascii="標楷體" w:eastAsia="標楷體" w:hAnsi="標楷體" w:hint="eastAsia"/>
          <w:bCs/>
          <w:color w:val="000000"/>
          <w:sz w:val="32"/>
          <w:szCs w:val="32"/>
        </w:rPr>
        <w:t>財報，因財報編製之會計準則有差異，</w:t>
      </w:r>
      <w:proofErr w:type="gramStart"/>
      <w:r w:rsidRPr="006654E8">
        <w:rPr>
          <w:rFonts w:ascii="標楷體" w:eastAsia="標楷體" w:hAnsi="標楷體" w:hint="eastAsia"/>
          <w:bCs/>
          <w:color w:val="000000"/>
          <w:sz w:val="32"/>
          <w:szCs w:val="32"/>
        </w:rPr>
        <w:t>爰</w:t>
      </w:r>
      <w:proofErr w:type="gramEnd"/>
      <w:r w:rsidRPr="006654E8">
        <w:rPr>
          <w:rFonts w:ascii="標楷體" w:eastAsia="標楷體" w:hAnsi="標楷體" w:hint="eastAsia"/>
          <w:bCs/>
          <w:color w:val="000000"/>
          <w:sz w:val="32"/>
          <w:szCs w:val="32"/>
        </w:rPr>
        <w:t>未列入統計對象。</w:t>
      </w:r>
      <w:r w:rsidR="00011A6B">
        <w:rPr>
          <w:rFonts w:ascii="標楷體" w:eastAsia="標楷體" w:hAnsi="標楷體" w:hint="eastAsia"/>
          <w:bCs/>
          <w:color w:val="000000"/>
          <w:sz w:val="32"/>
          <w:szCs w:val="32"/>
        </w:rPr>
        <w:t>故使用者進行序時分析時，需留意102年後樣本規模及特性有所變動之事實。</w:t>
      </w:r>
    </w:p>
    <w:p w:rsidR="00751169" w:rsidRDefault="00751169" w:rsidP="006654E8">
      <w:pPr>
        <w:pStyle w:val="a3"/>
        <w:spacing w:beforeLines="0" w:afterLines="0" w:line="500" w:lineRule="exact"/>
        <w:ind w:leftChars="0" w:left="1440"/>
        <w:jc w:val="both"/>
        <w:rPr>
          <w:rFonts w:ascii="標楷體" w:eastAsia="標楷體" w:hAnsi="標楷體"/>
          <w:bCs/>
          <w:color w:val="000000"/>
          <w:sz w:val="32"/>
          <w:szCs w:val="32"/>
        </w:rPr>
      </w:pPr>
    </w:p>
    <w:p w:rsidR="00562F9F" w:rsidRDefault="00642A08">
      <w:pPr>
        <w:pStyle w:val="a3"/>
        <w:numPr>
          <w:ilvl w:val="0"/>
          <w:numId w:val="2"/>
        </w:numPr>
        <w:spacing w:beforeLines="0" w:afterLines="0" w:line="500" w:lineRule="exact"/>
        <w:ind w:leftChars="0"/>
        <w:outlineLvl w:val="2"/>
        <w:rPr>
          <w:rFonts w:ascii="標楷體" w:eastAsia="標楷體" w:hAnsi="標楷體"/>
          <w:bCs/>
          <w:color w:val="000000"/>
          <w:sz w:val="32"/>
          <w:szCs w:val="32"/>
        </w:rPr>
      </w:pPr>
      <w:bookmarkStart w:id="3" w:name="_Toc429750440"/>
      <w:r w:rsidRPr="000E3D55">
        <w:rPr>
          <w:rFonts w:ascii="標楷體" w:eastAsia="標楷體" w:hAnsi="標楷體" w:hint="eastAsia"/>
          <w:sz w:val="32"/>
          <w:szCs w:val="32"/>
        </w:rPr>
        <w:t>資訊週期</w:t>
      </w:r>
      <w:bookmarkEnd w:id="3"/>
    </w:p>
    <w:p w:rsidR="006654E8" w:rsidRDefault="006654E8" w:rsidP="00883300">
      <w:pPr>
        <w:pStyle w:val="a3"/>
        <w:spacing w:beforeLines="0" w:afterLines="0" w:line="500" w:lineRule="exact"/>
        <w:ind w:leftChars="0" w:left="1440"/>
        <w:rPr>
          <w:rFonts w:ascii="標楷體" w:eastAsia="標楷體" w:hAnsi="標楷體"/>
          <w:sz w:val="32"/>
          <w:szCs w:val="32"/>
        </w:rPr>
      </w:pPr>
      <w:r w:rsidRPr="000E3D55">
        <w:rPr>
          <w:rFonts w:ascii="標楷體" w:eastAsia="標楷體" w:hAnsi="標楷體" w:hint="eastAsia"/>
          <w:sz w:val="32"/>
          <w:szCs w:val="32"/>
        </w:rPr>
        <w:t>年度資訊，始自90年度。</w:t>
      </w:r>
    </w:p>
    <w:p w:rsidR="00562F9F" w:rsidRDefault="00642A08">
      <w:pPr>
        <w:pStyle w:val="a3"/>
        <w:numPr>
          <w:ilvl w:val="0"/>
          <w:numId w:val="2"/>
        </w:numPr>
        <w:spacing w:beforeLines="0" w:afterLines="0" w:line="500" w:lineRule="exact"/>
        <w:ind w:leftChars="0"/>
        <w:outlineLvl w:val="2"/>
        <w:rPr>
          <w:rFonts w:ascii="標楷體" w:eastAsia="標楷體" w:hAnsi="標楷體"/>
          <w:bCs/>
          <w:color w:val="000000"/>
          <w:sz w:val="32"/>
          <w:szCs w:val="32"/>
        </w:rPr>
      </w:pPr>
      <w:bookmarkStart w:id="4" w:name="_Toc429750441"/>
      <w:r w:rsidRPr="000E3D55">
        <w:rPr>
          <w:rFonts w:ascii="標楷體" w:eastAsia="標楷體" w:hAnsi="標楷體" w:hint="eastAsia"/>
          <w:sz w:val="32"/>
          <w:szCs w:val="32"/>
        </w:rPr>
        <w:t>統計項目定義</w:t>
      </w:r>
      <w:bookmarkEnd w:id="4"/>
    </w:p>
    <w:p w:rsidR="00883300" w:rsidRPr="00883300" w:rsidRDefault="00883300" w:rsidP="00883300">
      <w:pPr>
        <w:pStyle w:val="a3"/>
        <w:numPr>
          <w:ilvl w:val="0"/>
          <w:numId w:val="3"/>
        </w:numPr>
        <w:spacing w:beforeLines="0" w:afterLines="0" w:line="500" w:lineRule="exact"/>
        <w:ind w:leftChars="0"/>
        <w:jc w:val="both"/>
        <w:rPr>
          <w:rFonts w:ascii="標楷體" w:eastAsia="標楷體" w:hAnsi="標楷體"/>
          <w:sz w:val="32"/>
          <w:szCs w:val="32"/>
        </w:rPr>
      </w:pPr>
      <w:r w:rsidRPr="00883300">
        <w:rPr>
          <w:rFonts w:ascii="標楷體" w:eastAsia="標楷體" w:hAnsi="標楷體" w:hint="eastAsia"/>
          <w:sz w:val="32"/>
          <w:szCs w:val="32"/>
        </w:rPr>
        <w:t>產業分類：</w:t>
      </w:r>
    </w:p>
    <w:p w:rsidR="006654E8" w:rsidRDefault="00883300" w:rsidP="00883300">
      <w:pPr>
        <w:pStyle w:val="a3"/>
        <w:spacing w:beforeLines="0" w:afterLines="0" w:line="500" w:lineRule="exact"/>
        <w:ind w:leftChars="0" w:left="1440"/>
        <w:rPr>
          <w:rFonts w:ascii="標楷體" w:eastAsia="標楷體" w:hAnsi="標楷體"/>
          <w:sz w:val="32"/>
          <w:szCs w:val="32"/>
        </w:rPr>
      </w:pPr>
      <w:r w:rsidRPr="000E3D55">
        <w:rPr>
          <w:rFonts w:ascii="標楷體" w:eastAsia="標楷體" w:hAnsi="標楷體" w:hint="eastAsia"/>
          <w:sz w:val="32"/>
          <w:szCs w:val="32"/>
        </w:rPr>
        <w:t>依行政院主計總處編訂「中華民國行業標準分類」為架構，配合其每5年重新檢討修訂，本項資訊分為第7(90~94年)、8(95~99)、9(100年迄今)次修訂版本。</w:t>
      </w:r>
    </w:p>
    <w:p w:rsidR="00883300" w:rsidRDefault="00883300" w:rsidP="00883300">
      <w:pPr>
        <w:pStyle w:val="a3"/>
        <w:numPr>
          <w:ilvl w:val="0"/>
          <w:numId w:val="3"/>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sz w:val="32"/>
          <w:szCs w:val="32"/>
        </w:rPr>
        <w:t>財務比率：</w:t>
      </w:r>
    </w:p>
    <w:p w:rsidR="00883300" w:rsidRDefault="00883300" w:rsidP="00883300">
      <w:pPr>
        <w:pStyle w:val="a3"/>
        <w:spacing w:beforeLines="0" w:afterLines="0" w:line="500" w:lineRule="exact"/>
        <w:ind w:leftChars="0" w:left="1456"/>
        <w:jc w:val="both"/>
        <w:rPr>
          <w:rFonts w:ascii="標楷體" w:eastAsia="標楷體" w:hAnsi="標楷體"/>
          <w:sz w:val="32"/>
          <w:szCs w:val="32"/>
        </w:rPr>
      </w:pPr>
      <w:r w:rsidRPr="000E3D55">
        <w:rPr>
          <w:rFonts w:ascii="標楷體" w:eastAsia="標楷體" w:hAnsi="標楷體" w:hint="eastAsia"/>
          <w:sz w:val="32"/>
          <w:szCs w:val="32"/>
        </w:rPr>
        <w:t>計有45項財務比率，內容請參見「財務比率四十五項計算公式及說明」。</w:t>
      </w:r>
    </w:p>
    <w:p w:rsidR="00AC4434" w:rsidRDefault="00AC4434" w:rsidP="00AC4434">
      <w:pPr>
        <w:pStyle w:val="a3"/>
        <w:numPr>
          <w:ilvl w:val="0"/>
          <w:numId w:val="3"/>
        </w:numPr>
        <w:spacing w:beforeLines="0" w:afterLines="0" w:line="500" w:lineRule="exact"/>
        <w:ind w:leftChars="0"/>
        <w:rPr>
          <w:rFonts w:ascii="標楷體" w:eastAsia="標楷體" w:hAnsi="標楷體"/>
          <w:sz w:val="32"/>
          <w:szCs w:val="32"/>
        </w:rPr>
      </w:pPr>
      <w:r w:rsidRPr="000E3D55">
        <w:rPr>
          <w:rFonts w:ascii="標楷體" w:eastAsia="標楷體" w:hAnsi="標楷體" w:hint="eastAsia"/>
          <w:bCs/>
          <w:color w:val="000000"/>
          <w:sz w:val="32"/>
          <w:szCs w:val="32"/>
        </w:rPr>
        <w:t>統計單位</w:t>
      </w:r>
      <w:r w:rsidRPr="000E3D55">
        <w:rPr>
          <w:rFonts w:ascii="標楷體" w:eastAsia="標楷體" w:hAnsi="標楷體" w:hint="eastAsia"/>
          <w:sz w:val="32"/>
          <w:szCs w:val="32"/>
        </w:rPr>
        <w:t>：</w:t>
      </w:r>
    </w:p>
    <w:p w:rsidR="00AC4434" w:rsidRDefault="00AC4434" w:rsidP="00AC4434">
      <w:pPr>
        <w:pStyle w:val="a3"/>
        <w:spacing w:beforeLines="0" w:afterLines="0" w:line="500" w:lineRule="exact"/>
        <w:ind w:leftChars="0" w:left="1456"/>
        <w:jc w:val="both"/>
        <w:rPr>
          <w:rFonts w:ascii="標楷體" w:eastAsia="標楷體" w:hAnsi="標楷體"/>
          <w:sz w:val="32"/>
          <w:szCs w:val="32"/>
        </w:rPr>
      </w:pPr>
      <w:r w:rsidRPr="001D530B">
        <w:rPr>
          <w:rFonts w:ascii="標楷體" w:eastAsia="標楷體" w:hAnsi="標楷體" w:hint="eastAsia"/>
          <w:bCs/>
          <w:color w:val="000000"/>
          <w:sz w:val="32"/>
          <w:szCs w:val="32"/>
        </w:rPr>
        <w:t>經營效能</w:t>
      </w:r>
      <w:r w:rsidR="00671921">
        <w:rPr>
          <w:rFonts w:ascii="標楷體" w:eastAsia="標楷體" w:hAnsi="標楷體" w:hint="eastAsia"/>
          <w:bCs/>
          <w:color w:val="000000"/>
          <w:sz w:val="32"/>
          <w:szCs w:val="32"/>
        </w:rPr>
        <w:t>(</w:t>
      </w:r>
      <w:r w:rsidR="00671921" w:rsidRPr="00123ED5">
        <w:rPr>
          <w:rFonts w:ascii="標楷體" w:eastAsia="標楷體" w:hAnsi="標楷體"/>
          <w:sz w:val="32"/>
          <w:szCs w:val="32"/>
        </w:rPr>
        <w:t>週轉率</w:t>
      </w:r>
      <w:r w:rsidR="00671921">
        <w:rPr>
          <w:rFonts w:ascii="標楷體" w:eastAsia="標楷體" w:hAnsi="標楷體" w:hint="eastAsia"/>
          <w:bCs/>
          <w:color w:val="000000"/>
          <w:sz w:val="32"/>
          <w:szCs w:val="32"/>
        </w:rPr>
        <w:t>)</w:t>
      </w:r>
      <w:r w:rsidRPr="001D530B">
        <w:rPr>
          <w:rFonts w:ascii="標楷體" w:eastAsia="標楷體" w:hAnsi="標楷體" w:hint="eastAsia"/>
          <w:bCs/>
          <w:color w:val="000000"/>
          <w:sz w:val="32"/>
          <w:szCs w:val="32"/>
        </w:rPr>
        <w:t>之各項比率以倍數(T)表示，</w:t>
      </w:r>
      <w:r>
        <w:rPr>
          <w:rFonts w:ascii="標楷體" w:eastAsia="標楷體" w:hAnsi="標楷體" w:hint="eastAsia"/>
          <w:bCs/>
          <w:color w:val="000000"/>
          <w:sz w:val="32"/>
          <w:szCs w:val="32"/>
        </w:rPr>
        <w:t>餘</w:t>
      </w:r>
      <w:r w:rsidRPr="000E3D55">
        <w:rPr>
          <w:rFonts w:ascii="標楷體" w:eastAsia="標楷體" w:hAnsi="標楷體" w:hint="eastAsia"/>
          <w:bCs/>
          <w:color w:val="000000"/>
          <w:sz w:val="32"/>
          <w:szCs w:val="32"/>
        </w:rPr>
        <w:t>財務比率</w:t>
      </w:r>
      <w:proofErr w:type="gramStart"/>
      <w:r w:rsidRPr="000E3D55">
        <w:rPr>
          <w:rFonts w:ascii="標楷體" w:eastAsia="標楷體" w:hAnsi="標楷體" w:hint="eastAsia"/>
          <w:bCs/>
          <w:color w:val="000000"/>
          <w:sz w:val="32"/>
          <w:szCs w:val="32"/>
        </w:rPr>
        <w:t>採</w:t>
      </w:r>
      <w:proofErr w:type="gramEnd"/>
      <w:r w:rsidRPr="000E3D55">
        <w:rPr>
          <w:rFonts w:ascii="標楷體" w:eastAsia="標楷體" w:hAnsi="標楷體" w:hint="eastAsia"/>
          <w:sz w:val="32"/>
          <w:szCs w:val="32"/>
        </w:rPr>
        <w:t>百分比（％）方式揭露。</w:t>
      </w:r>
      <w:r w:rsidRPr="000E3D55">
        <w:rPr>
          <w:rFonts w:ascii="標楷體" w:eastAsia="標楷體" w:hAnsi="標楷體" w:cs="新細明體" w:hint="eastAsia"/>
          <w:sz w:val="32"/>
          <w:szCs w:val="32"/>
        </w:rPr>
        <w:t>倍數分析之各項財務比率，原以倍數值</w:t>
      </w:r>
      <w:r w:rsidRPr="000E3D55">
        <w:rPr>
          <w:rFonts w:ascii="標楷體" w:eastAsia="標楷體" w:hAnsi="標楷體" w:hint="eastAsia"/>
          <w:sz w:val="32"/>
          <w:szCs w:val="32"/>
        </w:rPr>
        <w:t>(T)揭露，因相關數值過小，甚至為0.0，使得參考性降低，</w:t>
      </w:r>
      <w:proofErr w:type="gramStart"/>
      <w:r w:rsidRPr="000E3D55">
        <w:rPr>
          <w:rFonts w:ascii="標楷體" w:eastAsia="標楷體" w:hAnsi="標楷體" w:hint="eastAsia"/>
          <w:sz w:val="32"/>
          <w:szCs w:val="32"/>
        </w:rPr>
        <w:t>爰</w:t>
      </w:r>
      <w:proofErr w:type="gramEnd"/>
      <w:r w:rsidRPr="000E3D55">
        <w:rPr>
          <w:rFonts w:ascii="標楷體" w:eastAsia="標楷體" w:hAnsi="標楷體" w:hint="eastAsia"/>
          <w:sz w:val="32"/>
          <w:szCs w:val="32"/>
        </w:rPr>
        <w:t>改用百分比（％）方式揭露，得充分表示其數值意義。</w:t>
      </w:r>
    </w:p>
    <w:p w:rsidR="00AC4434" w:rsidRDefault="00AC4434" w:rsidP="00AC4434">
      <w:pPr>
        <w:pStyle w:val="a3"/>
        <w:spacing w:beforeLines="0" w:afterLines="0" w:line="0" w:lineRule="atLeast"/>
        <w:ind w:leftChars="0" w:left="720"/>
        <w:rPr>
          <w:rFonts w:ascii="標楷體" w:eastAsia="標楷體" w:hAnsi="標楷體" w:cs="Times New Roman"/>
          <w:sz w:val="32"/>
          <w:szCs w:val="32"/>
        </w:rPr>
      </w:pPr>
    </w:p>
    <w:p w:rsidR="00562F9F" w:rsidRDefault="00AC4434">
      <w:pPr>
        <w:pStyle w:val="a3"/>
        <w:numPr>
          <w:ilvl w:val="0"/>
          <w:numId w:val="12"/>
        </w:numPr>
        <w:spacing w:beforeLines="0" w:afterLines="0" w:line="0" w:lineRule="atLeast"/>
        <w:ind w:leftChars="0"/>
        <w:outlineLvl w:val="1"/>
        <w:rPr>
          <w:rFonts w:ascii="標楷體" w:eastAsia="標楷體" w:hAnsi="標楷體" w:cs="Times New Roman"/>
          <w:sz w:val="32"/>
          <w:szCs w:val="32"/>
        </w:rPr>
      </w:pPr>
      <w:bookmarkStart w:id="5" w:name="_Toc429750442"/>
      <w:r>
        <w:rPr>
          <w:rFonts w:ascii="標楷體" w:eastAsia="標楷體" w:hAnsi="標楷體" w:cs="Times New Roman" w:hint="eastAsia"/>
          <w:sz w:val="32"/>
          <w:szCs w:val="32"/>
        </w:rPr>
        <w:t>IFRSs(</w:t>
      </w:r>
      <w:hyperlink r:id="rId15" w:history="1">
        <w:r w:rsidR="00E83285" w:rsidRPr="00E83285">
          <w:rPr>
            <w:rFonts w:ascii="標楷體" w:eastAsia="標楷體" w:hAnsi="標楷體" w:cs="Times New Roman"/>
            <w:sz w:val="32"/>
            <w:szCs w:val="32"/>
          </w:rPr>
          <w:t>國際財務報導準則</w:t>
        </w:r>
      </w:hyperlink>
      <w:r>
        <w:rPr>
          <w:rFonts w:ascii="標楷體" w:eastAsia="標楷體" w:hAnsi="標楷體" w:cs="Times New Roman" w:hint="eastAsia"/>
          <w:sz w:val="32"/>
          <w:szCs w:val="32"/>
        </w:rPr>
        <w:t>)編製基礎</w:t>
      </w:r>
      <w:bookmarkEnd w:id="5"/>
    </w:p>
    <w:p w:rsidR="00562F9F" w:rsidRDefault="00A71DF2">
      <w:pPr>
        <w:pStyle w:val="a3"/>
        <w:numPr>
          <w:ilvl w:val="0"/>
          <w:numId w:val="9"/>
        </w:numPr>
        <w:spacing w:beforeLines="0" w:afterLines="0"/>
        <w:ind w:leftChars="0"/>
        <w:outlineLvl w:val="2"/>
        <w:rPr>
          <w:rFonts w:ascii="標楷體" w:eastAsia="標楷體" w:hAnsi="標楷體"/>
          <w:bCs/>
          <w:color w:val="000000"/>
          <w:sz w:val="32"/>
          <w:szCs w:val="32"/>
        </w:rPr>
      </w:pPr>
      <w:bookmarkStart w:id="6" w:name="_Toc429750443"/>
      <w:r w:rsidRPr="000E3D55">
        <w:rPr>
          <w:rFonts w:ascii="標楷體" w:eastAsia="標楷體" w:hAnsi="標楷體" w:hint="eastAsia"/>
          <w:bCs/>
          <w:color w:val="000000"/>
          <w:sz w:val="32"/>
          <w:szCs w:val="32"/>
        </w:rPr>
        <w:t>資訊範圍及對象</w:t>
      </w:r>
      <w:bookmarkEnd w:id="6"/>
    </w:p>
    <w:p w:rsidR="00A71DF2" w:rsidRDefault="00A71DF2" w:rsidP="00A71DF2">
      <w:pPr>
        <w:pStyle w:val="a3"/>
        <w:spacing w:beforeLines="0" w:afterLines="0" w:line="500" w:lineRule="exact"/>
        <w:ind w:leftChars="0" w:left="1440"/>
        <w:jc w:val="both"/>
        <w:rPr>
          <w:rFonts w:ascii="標楷體" w:eastAsia="標楷體" w:hAnsi="標楷體"/>
          <w:sz w:val="32"/>
          <w:szCs w:val="32"/>
        </w:rPr>
      </w:pPr>
      <w:r w:rsidRPr="006654E8">
        <w:rPr>
          <w:rFonts w:ascii="標楷體" w:eastAsia="標楷體" w:hAnsi="標楷體" w:hint="eastAsia"/>
          <w:bCs/>
          <w:color w:val="000000"/>
          <w:sz w:val="32"/>
          <w:szCs w:val="32"/>
        </w:rPr>
        <w:t>上市櫃</w:t>
      </w:r>
      <w:r>
        <w:rPr>
          <w:rFonts w:ascii="標楷體" w:eastAsia="標楷體" w:hAnsi="標楷體" w:hint="eastAsia"/>
          <w:bCs/>
          <w:color w:val="000000"/>
          <w:sz w:val="32"/>
          <w:szCs w:val="32"/>
        </w:rPr>
        <w:t>/</w:t>
      </w:r>
      <w:proofErr w:type="gramStart"/>
      <w:r>
        <w:rPr>
          <w:rFonts w:ascii="標楷體" w:eastAsia="標楷體" w:hAnsi="標楷體" w:hint="eastAsia"/>
          <w:bCs/>
          <w:color w:val="000000"/>
          <w:sz w:val="32"/>
          <w:szCs w:val="32"/>
        </w:rPr>
        <w:t>興櫃</w:t>
      </w:r>
      <w:r w:rsidRPr="006654E8">
        <w:rPr>
          <w:rFonts w:ascii="標楷體" w:eastAsia="標楷體" w:hAnsi="標楷體" w:hint="eastAsia"/>
          <w:bCs/>
          <w:color w:val="000000"/>
          <w:sz w:val="32"/>
          <w:szCs w:val="32"/>
        </w:rPr>
        <w:t>公司</w:t>
      </w:r>
      <w:proofErr w:type="gramEnd"/>
      <w:r w:rsidRPr="006654E8">
        <w:rPr>
          <w:rFonts w:ascii="標楷體" w:eastAsia="標楷體" w:hAnsi="標楷體" w:hint="eastAsia"/>
          <w:bCs/>
          <w:color w:val="000000"/>
          <w:sz w:val="32"/>
          <w:szCs w:val="32"/>
        </w:rPr>
        <w:t>於102</w:t>
      </w:r>
      <w:r w:rsidRPr="006654E8">
        <w:rPr>
          <w:rFonts w:ascii="標楷體" w:eastAsia="標楷體" w:hAnsi="標楷體"/>
          <w:bCs/>
          <w:color w:val="000000"/>
          <w:sz w:val="32"/>
          <w:szCs w:val="32"/>
        </w:rPr>
        <w:t xml:space="preserve"> </w:t>
      </w:r>
      <w:r w:rsidRPr="006654E8">
        <w:rPr>
          <w:rFonts w:ascii="標楷體" w:eastAsia="標楷體" w:hAnsi="標楷體" w:hint="eastAsia"/>
          <w:bCs/>
          <w:color w:val="000000"/>
          <w:sz w:val="32"/>
          <w:szCs w:val="32"/>
        </w:rPr>
        <w:t>年度</w:t>
      </w:r>
      <w:r>
        <w:rPr>
          <w:rFonts w:ascii="標楷體" w:eastAsia="標楷體" w:hAnsi="標楷體" w:hint="eastAsia"/>
          <w:bCs/>
          <w:color w:val="000000"/>
          <w:sz w:val="32"/>
          <w:szCs w:val="32"/>
        </w:rPr>
        <w:t>改以</w:t>
      </w:r>
      <w:r w:rsidRPr="006654E8">
        <w:rPr>
          <w:rFonts w:ascii="標楷體" w:eastAsia="標楷體" w:hAnsi="標楷體"/>
          <w:bCs/>
          <w:color w:val="000000"/>
          <w:sz w:val="32"/>
          <w:szCs w:val="32"/>
        </w:rPr>
        <w:t>IFRS</w:t>
      </w:r>
      <w:r>
        <w:rPr>
          <w:rFonts w:ascii="標楷體" w:eastAsia="標楷體" w:hAnsi="標楷體" w:hint="eastAsia"/>
          <w:bCs/>
          <w:color w:val="000000"/>
          <w:sz w:val="32"/>
          <w:szCs w:val="32"/>
        </w:rPr>
        <w:t>s(</w:t>
      </w:r>
      <w:hyperlink r:id="rId16" w:history="1">
        <w:r w:rsidRPr="006654E8">
          <w:rPr>
            <w:rFonts w:ascii="標楷體" w:eastAsia="標楷體" w:hAnsi="標楷體"/>
            <w:bCs/>
            <w:color w:val="000000"/>
            <w:sz w:val="32"/>
            <w:szCs w:val="32"/>
          </w:rPr>
          <w:t>國際財務報導準則</w:t>
        </w:r>
      </w:hyperlink>
      <w:r>
        <w:rPr>
          <w:rFonts w:ascii="標楷體" w:eastAsia="標楷體" w:hAnsi="標楷體" w:hint="eastAsia"/>
          <w:bCs/>
          <w:color w:val="000000"/>
          <w:sz w:val="32"/>
          <w:szCs w:val="32"/>
        </w:rPr>
        <w:t>)編製</w:t>
      </w:r>
      <w:r w:rsidRPr="006654E8">
        <w:rPr>
          <w:rFonts w:ascii="標楷體" w:eastAsia="標楷體" w:hAnsi="標楷體" w:hint="eastAsia"/>
          <w:bCs/>
          <w:color w:val="000000"/>
          <w:sz w:val="32"/>
          <w:szCs w:val="32"/>
        </w:rPr>
        <w:t>財報，</w:t>
      </w:r>
      <w:r>
        <w:rPr>
          <w:rFonts w:ascii="標楷體" w:eastAsia="標楷體" w:hAnsi="標楷體" w:hint="eastAsia"/>
          <w:bCs/>
          <w:color w:val="000000"/>
          <w:sz w:val="32"/>
          <w:szCs w:val="32"/>
        </w:rPr>
        <w:t>104年則擴及公開發行公司全面適用。本中心蒐集上述</w:t>
      </w:r>
      <w:r w:rsidRPr="006B6D0C">
        <w:rPr>
          <w:rFonts w:ascii="標楷體" w:eastAsia="標楷體" w:hAnsi="標楷體" w:hint="eastAsia"/>
          <w:bCs/>
          <w:color w:val="000000"/>
          <w:sz w:val="32"/>
          <w:szCs w:val="32"/>
        </w:rPr>
        <w:t>會計師</w:t>
      </w:r>
      <w:r w:rsidRPr="006B6D0C">
        <w:rPr>
          <w:rFonts w:ascii="標楷體" w:eastAsia="標楷體" w:hAnsi="標楷體" w:hint="eastAsia"/>
          <w:sz w:val="32"/>
          <w:szCs w:val="32"/>
        </w:rPr>
        <w:t>查核簽證年度財務報表，</w:t>
      </w:r>
      <w:r>
        <w:rPr>
          <w:rFonts w:ascii="標楷體" w:eastAsia="標楷體" w:hAnsi="標楷體" w:hint="eastAsia"/>
          <w:sz w:val="32"/>
          <w:szCs w:val="32"/>
        </w:rPr>
        <w:t>剔除</w:t>
      </w:r>
      <w:r w:rsidRPr="006B6D0C">
        <w:rPr>
          <w:rFonts w:ascii="標楷體" w:eastAsia="標楷體" w:hAnsi="標楷體" w:hint="eastAsia"/>
          <w:sz w:val="32"/>
          <w:szCs w:val="32"/>
        </w:rPr>
        <w:t>若干企業營運狀態較特殊者(營業收入為負值、淨值為負值等)，</w:t>
      </w:r>
      <w:r>
        <w:rPr>
          <w:rFonts w:ascii="標楷體" w:eastAsia="標楷體" w:hAnsi="標楷體" w:hint="eastAsia"/>
          <w:sz w:val="32"/>
          <w:szCs w:val="32"/>
        </w:rPr>
        <w:t>編製IFRSs之</w:t>
      </w:r>
      <w:r w:rsidRPr="00642A08">
        <w:rPr>
          <w:rFonts w:ascii="標楷體" w:eastAsia="標楷體" w:hAnsi="標楷體" w:cs="Times New Roman" w:hint="eastAsia"/>
          <w:sz w:val="32"/>
          <w:szCs w:val="32"/>
        </w:rPr>
        <w:t>產</w:t>
      </w:r>
      <w:r w:rsidRPr="00642A08">
        <w:rPr>
          <w:rFonts w:ascii="標楷體" w:eastAsia="標楷體" w:hAnsi="標楷體" w:hint="eastAsia"/>
          <w:bCs/>
          <w:color w:val="000000"/>
          <w:sz w:val="32"/>
          <w:szCs w:val="32"/>
        </w:rPr>
        <w:t>業財務比率資訊</w:t>
      </w:r>
      <w:r w:rsidRPr="006B6D0C">
        <w:rPr>
          <w:rFonts w:ascii="標楷體" w:eastAsia="標楷體" w:hAnsi="標楷體" w:hint="eastAsia"/>
          <w:sz w:val="32"/>
          <w:szCs w:val="32"/>
        </w:rPr>
        <w:t>。</w:t>
      </w:r>
    </w:p>
    <w:p w:rsidR="003B59B1" w:rsidRDefault="003B59B1" w:rsidP="00A71DF2">
      <w:pPr>
        <w:pStyle w:val="a3"/>
        <w:spacing w:beforeLines="0" w:afterLines="0" w:line="500" w:lineRule="exact"/>
        <w:ind w:leftChars="0" w:left="1440"/>
        <w:jc w:val="both"/>
        <w:rPr>
          <w:rFonts w:ascii="標楷體" w:eastAsia="標楷體" w:hAnsi="標楷體"/>
          <w:sz w:val="32"/>
          <w:szCs w:val="32"/>
        </w:rPr>
      </w:pPr>
      <w:r>
        <w:rPr>
          <w:rFonts w:ascii="標楷體" w:eastAsia="標楷體" w:hAnsi="標楷體" w:hint="eastAsia"/>
          <w:sz w:val="32"/>
          <w:szCs w:val="32"/>
        </w:rPr>
        <w:lastRenderedPageBreak/>
        <w:t>因IFRSs下報表性質不同，復區分樣本為合併與個體/個別財報分列。</w:t>
      </w:r>
    </w:p>
    <w:p w:rsidR="00562F9F" w:rsidRDefault="00A71DF2">
      <w:pPr>
        <w:pStyle w:val="a3"/>
        <w:numPr>
          <w:ilvl w:val="0"/>
          <w:numId w:val="9"/>
        </w:numPr>
        <w:spacing w:beforeLines="0" w:afterLines="0" w:line="500" w:lineRule="exact"/>
        <w:ind w:leftChars="0"/>
        <w:outlineLvl w:val="2"/>
        <w:rPr>
          <w:rFonts w:ascii="標楷體" w:eastAsia="標楷體" w:hAnsi="標楷體"/>
          <w:bCs/>
          <w:color w:val="000000"/>
          <w:sz w:val="32"/>
          <w:szCs w:val="32"/>
        </w:rPr>
      </w:pPr>
      <w:bookmarkStart w:id="7" w:name="_Toc429750444"/>
      <w:r w:rsidRPr="000E3D55">
        <w:rPr>
          <w:rFonts w:ascii="標楷體" w:eastAsia="標楷體" w:hAnsi="標楷體" w:hint="eastAsia"/>
          <w:sz w:val="32"/>
          <w:szCs w:val="32"/>
        </w:rPr>
        <w:t>資訊週期</w:t>
      </w:r>
      <w:bookmarkEnd w:id="7"/>
    </w:p>
    <w:p w:rsidR="00A71DF2" w:rsidRDefault="00A71DF2" w:rsidP="00A71DF2">
      <w:pPr>
        <w:pStyle w:val="a3"/>
        <w:spacing w:beforeLines="0" w:afterLines="0" w:line="500" w:lineRule="exact"/>
        <w:ind w:leftChars="0" w:left="1440"/>
        <w:rPr>
          <w:rFonts w:ascii="標楷體" w:eastAsia="標楷體" w:hAnsi="標楷體"/>
          <w:sz w:val="32"/>
          <w:szCs w:val="32"/>
        </w:rPr>
      </w:pPr>
      <w:r w:rsidRPr="000E3D55">
        <w:rPr>
          <w:rFonts w:ascii="標楷體" w:eastAsia="標楷體" w:hAnsi="標楷體" w:hint="eastAsia"/>
          <w:sz w:val="32"/>
          <w:szCs w:val="32"/>
        </w:rPr>
        <w:t>年度資訊，始自</w:t>
      </w:r>
      <w:proofErr w:type="gramStart"/>
      <w:r>
        <w:rPr>
          <w:rFonts w:ascii="標楷體" w:eastAsia="標楷體" w:hAnsi="標楷體" w:hint="eastAsia"/>
          <w:sz w:val="32"/>
          <w:szCs w:val="32"/>
        </w:rPr>
        <w:t>102</w:t>
      </w:r>
      <w:proofErr w:type="gramEnd"/>
      <w:r w:rsidRPr="000E3D55">
        <w:rPr>
          <w:rFonts w:ascii="標楷體" w:eastAsia="標楷體" w:hAnsi="標楷體" w:hint="eastAsia"/>
          <w:sz w:val="32"/>
          <w:szCs w:val="32"/>
        </w:rPr>
        <w:t>年度。</w:t>
      </w:r>
    </w:p>
    <w:p w:rsidR="00562F9F" w:rsidRDefault="00A71DF2">
      <w:pPr>
        <w:pStyle w:val="a3"/>
        <w:numPr>
          <w:ilvl w:val="0"/>
          <w:numId w:val="9"/>
        </w:numPr>
        <w:spacing w:beforeLines="0" w:afterLines="0" w:line="500" w:lineRule="exact"/>
        <w:ind w:leftChars="0"/>
        <w:outlineLvl w:val="2"/>
        <w:rPr>
          <w:rFonts w:ascii="標楷體" w:eastAsia="標楷體" w:hAnsi="標楷體"/>
          <w:bCs/>
          <w:color w:val="000000"/>
          <w:sz w:val="32"/>
          <w:szCs w:val="32"/>
        </w:rPr>
      </w:pPr>
      <w:bookmarkStart w:id="8" w:name="_Toc429750445"/>
      <w:r w:rsidRPr="000E3D55">
        <w:rPr>
          <w:rFonts w:ascii="標楷體" w:eastAsia="標楷體" w:hAnsi="標楷體" w:hint="eastAsia"/>
          <w:sz w:val="32"/>
          <w:szCs w:val="32"/>
        </w:rPr>
        <w:t>統計項目定義</w:t>
      </w:r>
      <w:bookmarkEnd w:id="8"/>
    </w:p>
    <w:p w:rsidR="00562F9F" w:rsidRDefault="00A71DF2">
      <w:pPr>
        <w:pStyle w:val="a3"/>
        <w:numPr>
          <w:ilvl w:val="0"/>
          <w:numId w:val="10"/>
        </w:numPr>
        <w:spacing w:beforeLines="0" w:afterLines="0" w:line="500" w:lineRule="exact"/>
        <w:ind w:leftChars="0"/>
        <w:jc w:val="both"/>
        <w:rPr>
          <w:rFonts w:ascii="標楷體" w:eastAsia="標楷體" w:hAnsi="標楷體"/>
          <w:sz w:val="32"/>
          <w:szCs w:val="32"/>
        </w:rPr>
      </w:pPr>
      <w:r w:rsidRPr="00883300">
        <w:rPr>
          <w:rFonts w:ascii="標楷體" w:eastAsia="標楷體" w:hAnsi="標楷體" w:hint="eastAsia"/>
          <w:sz w:val="32"/>
          <w:szCs w:val="32"/>
        </w:rPr>
        <w:t>產業分類：</w:t>
      </w:r>
    </w:p>
    <w:p w:rsidR="00A71DF2" w:rsidRDefault="00A71DF2" w:rsidP="00A71DF2">
      <w:pPr>
        <w:pStyle w:val="a3"/>
        <w:spacing w:beforeLines="0" w:afterLines="0" w:line="500" w:lineRule="exact"/>
        <w:ind w:leftChars="0" w:left="1440"/>
        <w:rPr>
          <w:rFonts w:ascii="標楷體" w:eastAsia="標楷體" w:hAnsi="標楷體"/>
          <w:sz w:val="32"/>
          <w:szCs w:val="32"/>
        </w:rPr>
      </w:pPr>
      <w:r>
        <w:rPr>
          <w:rFonts w:ascii="標楷體" w:eastAsia="標楷體" w:hAnsi="標楷體" w:hint="eastAsia"/>
          <w:sz w:val="32"/>
          <w:szCs w:val="32"/>
        </w:rPr>
        <w:t>依行政院主計總處編訂「中華民國行業標準分類」</w:t>
      </w:r>
      <w:r w:rsidRPr="000E3D55">
        <w:rPr>
          <w:rFonts w:ascii="標楷體" w:eastAsia="標楷體" w:hAnsi="標楷體" w:hint="eastAsia"/>
          <w:sz w:val="32"/>
          <w:szCs w:val="32"/>
        </w:rPr>
        <w:t>9(100年迄今)次修訂版本</w:t>
      </w:r>
      <w:r>
        <w:rPr>
          <w:rFonts w:ascii="標楷體" w:eastAsia="標楷體" w:hAnsi="標楷體" w:hint="eastAsia"/>
          <w:sz w:val="32"/>
          <w:szCs w:val="32"/>
        </w:rPr>
        <w:t>為架構</w:t>
      </w:r>
      <w:r w:rsidRPr="000E3D55">
        <w:rPr>
          <w:rFonts w:ascii="標楷體" w:eastAsia="標楷體" w:hAnsi="標楷體" w:hint="eastAsia"/>
          <w:sz w:val="32"/>
          <w:szCs w:val="32"/>
        </w:rPr>
        <w:t>。</w:t>
      </w:r>
    </w:p>
    <w:p w:rsidR="00562F9F" w:rsidRDefault="00A71DF2">
      <w:pPr>
        <w:pStyle w:val="a3"/>
        <w:numPr>
          <w:ilvl w:val="0"/>
          <w:numId w:val="10"/>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sz w:val="32"/>
          <w:szCs w:val="32"/>
        </w:rPr>
        <w:t>財務比率：</w:t>
      </w:r>
    </w:p>
    <w:p w:rsidR="00A71DF2" w:rsidRDefault="00A71DF2" w:rsidP="00A71DF2">
      <w:pPr>
        <w:pStyle w:val="a3"/>
        <w:spacing w:beforeLines="0" w:afterLines="0" w:line="500" w:lineRule="exact"/>
        <w:ind w:leftChars="0" w:left="1456"/>
        <w:jc w:val="both"/>
        <w:rPr>
          <w:rFonts w:ascii="標楷體" w:eastAsia="標楷體" w:hAnsi="標楷體"/>
          <w:sz w:val="32"/>
          <w:szCs w:val="32"/>
        </w:rPr>
      </w:pPr>
      <w:r w:rsidRPr="000E3D55">
        <w:rPr>
          <w:rFonts w:ascii="標楷體" w:eastAsia="標楷體" w:hAnsi="標楷體" w:hint="eastAsia"/>
          <w:sz w:val="32"/>
          <w:szCs w:val="32"/>
        </w:rPr>
        <w:t>計有5</w:t>
      </w:r>
      <w:r>
        <w:rPr>
          <w:rFonts w:ascii="標楷體" w:eastAsia="標楷體" w:hAnsi="標楷體" w:hint="eastAsia"/>
          <w:sz w:val="32"/>
          <w:szCs w:val="32"/>
        </w:rPr>
        <w:t>8</w:t>
      </w:r>
      <w:r w:rsidRPr="000E3D55">
        <w:rPr>
          <w:rFonts w:ascii="標楷體" w:eastAsia="標楷體" w:hAnsi="標楷體" w:hint="eastAsia"/>
          <w:sz w:val="32"/>
          <w:szCs w:val="32"/>
        </w:rPr>
        <w:t>項財務比率，內容請參見「</w:t>
      </w:r>
      <w:r w:rsidR="00E83285" w:rsidRPr="00E83285">
        <w:rPr>
          <w:rFonts w:ascii="標楷體" w:eastAsia="標楷體" w:hAnsi="標楷體"/>
          <w:sz w:val="32"/>
          <w:szCs w:val="32"/>
        </w:rPr>
        <w:t>IFRSs財務比率五十八項計算公式</w:t>
      </w:r>
      <w:r w:rsidRPr="000E3D55">
        <w:rPr>
          <w:rFonts w:ascii="標楷體" w:eastAsia="標楷體" w:hAnsi="標楷體" w:hint="eastAsia"/>
          <w:sz w:val="32"/>
          <w:szCs w:val="32"/>
        </w:rPr>
        <w:t>」。</w:t>
      </w:r>
    </w:p>
    <w:p w:rsidR="00562F9F" w:rsidRDefault="00A71DF2">
      <w:pPr>
        <w:pStyle w:val="a3"/>
        <w:numPr>
          <w:ilvl w:val="0"/>
          <w:numId w:val="10"/>
        </w:numPr>
        <w:spacing w:beforeLines="0" w:afterLines="0" w:line="500" w:lineRule="exact"/>
        <w:ind w:leftChars="0"/>
        <w:rPr>
          <w:rFonts w:ascii="標楷體" w:eastAsia="標楷體" w:hAnsi="標楷體"/>
          <w:sz w:val="32"/>
          <w:szCs w:val="32"/>
        </w:rPr>
      </w:pPr>
      <w:r w:rsidRPr="000E3D55">
        <w:rPr>
          <w:rFonts w:ascii="標楷體" w:eastAsia="標楷體" w:hAnsi="標楷體" w:hint="eastAsia"/>
          <w:bCs/>
          <w:color w:val="000000"/>
          <w:sz w:val="32"/>
          <w:szCs w:val="32"/>
        </w:rPr>
        <w:t>統計單位</w:t>
      </w:r>
      <w:r w:rsidRPr="000E3D55">
        <w:rPr>
          <w:rFonts w:ascii="標楷體" w:eastAsia="標楷體" w:hAnsi="標楷體" w:hint="eastAsia"/>
          <w:sz w:val="32"/>
          <w:szCs w:val="32"/>
        </w:rPr>
        <w:t>：</w:t>
      </w:r>
    </w:p>
    <w:p w:rsidR="00AC4434" w:rsidRDefault="00427463" w:rsidP="00A71DF2">
      <w:pPr>
        <w:pStyle w:val="a3"/>
        <w:spacing w:beforeLines="0" w:afterLines="0" w:line="500" w:lineRule="exact"/>
        <w:ind w:leftChars="0" w:left="1456"/>
        <w:jc w:val="both"/>
        <w:rPr>
          <w:rFonts w:ascii="標楷體" w:eastAsia="標楷體" w:hAnsi="標楷體"/>
          <w:sz w:val="32"/>
          <w:szCs w:val="32"/>
        </w:rPr>
      </w:pPr>
      <w:r>
        <w:rPr>
          <w:rFonts w:ascii="標楷體" w:eastAsia="標楷體" w:hAnsi="標楷體" w:hint="eastAsia"/>
          <w:sz w:val="32"/>
          <w:szCs w:val="32"/>
        </w:rPr>
        <w:t>除</w:t>
      </w:r>
      <w:proofErr w:type="gramStart"/>
      <w:r w:rsidR="00E83285" w:rsidRPr="00E83285">
        <w:rPr>
          <w:rFonts w:ascii="標楷體" w:eastAsia="標楷體" w:hAnsi="標楷體" w:hint="eastAsia"/>
          <w:sz w:val="32"/>
          <w:szCs w:val="32"/>
        </w:rPr>
        <w:t>第</w:t>
      </w:r>
      <w:r w:rsidR="00E83285" w:rsidRPr="00E83285">
        <w:rPr>
          <w:rFonts w:ascii="標楷體" w:eastAsia="標楷體" w:hAnsi="標楷體"/>
          <w:sz w:val="32"/>
          <w:szCs w:val="32"/>
        </w:rPr>
        <w:t>17項</w:t>
      </w:r>
      <w:r w:rsidRPr="00427463">
        <w:rPr>
          <w:rFonts w:ascii="標楷體" w:eastAsia="標楷體" w:hAnsi="標楷體" w:hint="eastAsia"/>
          <w:sz w:val="32"/>
          <w:szCs w:val="32"/>
        </w:rPr>
        <w:t>速動資產</w:t>
      </w:r>
      <w:proofErr w:type="gramEnd"/>
      <w:r w:rsidRPr="00427463">
        <w:rPr>
          <w:rFonts w:ascii="標楷體" w:eastAsia="標楷體" w:hAnsi="標楷體" w:hint="eastAsia"/>
          <w:sz w:val="32"/>
          <w:szCs w:val="32"/>
        </w:rPr>
        <w:t>對平均每日營業支出比率</w:t>
      </w:r>
      <w:r w:rsidR="00E83285" w:rsidRPr="00E83285">
        <w:rPr>
          <w:rFonts w:ascii="標楷體" w:eastAsia="標楷體" w:hAnsi="標楷體" w:hint="eastAsia"/>
          <w:sz w:val="32"/>
          <w:szCs w:val="32"/>
        </w:rPr>
        <w:t>單位為天，週轉率單位為次，</w:t>
      </w:r>
      <w:r w:rsidR="00E83285" w:rsidRPr="00E83285">
        <w:rPr>
          <w:rFonts w:ascii="標楷體" w:eastAsia="標楷體" w:hAnsi="標楷體"/>
          <w:sz w:val="32"/>
          <w:szCs w:val="32"/>
        </w:rPr>
        <w:t>其餘各項比率皆以百分比(%)表示。週轉率計算公式中分母會計項目係</w:t>
      </w:r>
      <w:proofErr w:type="gramStart"/>
      <w:r w:rsidR="00E83285" w:rsidRPr="00E83285">
        <w:rPr>
          <w:rFonts w:ascii="標楷體" w:eastAsia="標楷體" w:hAnsi="標楷體"/>
          <w:sz w:val="32"/>
          <w:szCs w:val="32"/>
        </w:rPr>
        <w:t>採</w:t>
      </w:r>
      <w:proofErr w:type="gramEnd"/>
      <w:r w:rsidR="00E83285" w:rsidRPr="00E83285">
        <w:rPr>
          <w:rFonts w:ascii="標楷體" w:eastAsia="標楷體" w:hAnsi="標楷體"/>
          <w:sz w:val="32"/>
          <w:szCs w:val="32"/>
        </w:rPr>
        <w:t>期初與期末餘額之平均值計算</w:t>
      </w:r>
      <w:r w:rsidR="00A71DF2" w:rsidRPr="000E3D55">
        <w:rPr>
          <w:rFonts w:ascii="標楷體" w:eastAsia="標楷體" w:hAnsi="標楷體" w:hint="eastAsia"/>
          <w:sz w:val="32"/>
          <w:szCs w:val="32"/>
        </w:rPr>
        <w:t>。</w:t>
      </w:r>
    </w:p>
    <w:p w:rsidR="00562F9F" w:rsidRDefault="00E83285">
      <w:pPr>
        <w:pStyle w:val="a3"/>
        <w:numPr>
          <w:ilvl w:val="0"/>
          <w:numId w:val="10"/>
        </w:numPr>
        <w:spacing w:beforeLines="0" w:afterLines="0" w:line="500" w:lineRule="exact"/>
        <w:ind w:leftChars="0"/>
        <w:rPr>
          <w:rFonts w:ascii="標楷體" w:eastAsia="標楷體" w:hAnsi="標楷體"/>
          <w:bCs/>
          <w:color w:val="000000"/>
          <w:sz w:val="32"/>
          <w:szCs w:val="32"/>
        </w:rPr>
      </w:pPr>
      <w:r w:rsidRPr="00E83285">
        <w:rPr>
          <w:rFonts w:ascii="標楷體" w:eastAsia="標楷體" w:hAnsi="標楷體" w:hint="eastAsia"/>
          <w:bCs/>
          <w:color w:val="000000"/>
          <w:sz w:val="32"/>
          <w:szCs w:val="32"/>
        </w:rPr>
        <w:t>投資性不動產報酬率</w:t>
      </w:r>
    </w:p>
    <w:p w:rsidR="00062AEF" w:rsidRDefault="00E83285" w:rsidP="00062AEF">
      <w:pPr>
        <w:pStyle w:val="a3"/>
        <w:spacing w:beforeLines="0" w:afterLines="0" w:line="500" w:lineRule="exact"/>
        <w:ind w:leftChars="0" w:left="1456"/>
        <w:jc w:val="both"/>
        <w:rPr>
          <w:rFonts w:ascii="標楷體" w:eastAsia="標楷體" w:hAnsi="標楷體"/>
          <w:sz w:val="32"/>
          <w:szCs w:val="32"/>
        </w:rPr>
      </w:pPr>
      <w:r w:rsidRPr="00E83285">
        <w:rPr>
          <w:rFonts w:ascii="標楷體" w:eastAsia="標楷體" w:hAnsi="標楷體" w:hint="eastAsia"/>
          <w:sz w:val="32"/>
          <w:szCs w:val="32"/>
        </w:rPr>
        <w:t>第</w:t>
      </w:r>
      <w:r w:rsidRPr="00E83285">
        <w:rPr>
          <w:rFonts w:ascii="標楷體" w:eastAsia="標楷體" w:hAnsi="標楷體"/>
          <w:sz w:val="32"/>
          <w:szCs w:val="32"/>
        </w:rPr>
        <w:t>2</w:t>
      </w:r>
      <w:r w:rsidRPr="00E83285">
        <w:rPr>
          <w:rFonts w:ascii="標楷體" w:eastAsia="標楷體" w:hAnsi="標楷體" w:hint="eastAsia"/>
          <w:sz w:val="32"/>
          <w:szCs w:val="32"/>
        </w:rPr>
        <w:t>7項</w:t>
      </w:r>
      <w:r w:rsidR="00DE0A26">
        <w:rPr>
          <w:rFonts w:ascii="標楷體" w:eastAsia="標楷體" w:hAnsi="標楷體" w:hint="eastAsia"/>
          <w:sz w:val="32"/>
          <w:szCs w:val="32"/>
        </w:rPr>
        <w:t>投資性不動產報酬率，係以樣本</w:t>
      </w:r>
      <w:proofErr w:type="gramStart"/>
      <w:r w:rsidR="00DE0A26">
        <w:rPr>
          <w:rFonts w:ascii="標楷體" w:eastAsia="標楷體" w:hAnsi="標楷體" w:hint="eastAsia"/>
          <w:sz w:val="32"/>
          <w:szCs w:val="32"/>
        </w:rPr>
        <w:t>採</w:t>
      </w:r>
      <w:proofErr w:type="gramEnd"/>
      <w:r w:rsidR="00DE0A26">
        <w:rPr>
          <w:rFonts w:ascii="標楷體" w:eastAsia="標楷體" w:hAnsi="標楷體" w:hint="eastAsia"/>
          <w:sz w:val="32"/>
          <w:szCs w:val="32"/>
        </w:rPr>
        <w:t>公允價值衡量投資性不動產者為基準，若該樣本</w:t>
      </w:r>
      <w:proofErr w:type="gramStart"/>
      <w:r w:rsidR="00DE0A26">
        <w:rPr>
          <w:rFonts w:ascii="標楷體" w:eastAsia="標楷體" w:hAnsi="標楷體" w:hint="eastAsia"/>
          <w:sz w:val="32"/>
          <w:szCs w:val="32"/>
        </w:rPr>
        <w:t>帳面</w:t>
      </w:r>
      <w:proofErr w:type="gramEnd"/>
      <w:r w:rsidR="00DE0A26">
        <w:rPr>
          <w:rFonts w:ascii="標楷體" w:eastAsia="標楷體" w:hAnsi="標楷體" w:hint="eastAsia"/>
          <w:sz w:val="32"/>
          <w:szCs w:val="32"/>
        </w:rPr>
        <w:t>金額非</w:t>
      </w:r>
      <w:proofErr w:type="gramStart"/>
      <w:r w:rsidR="00DE0A26">
        <w:rPr>
          <w:rFonts w:ascii="標楷體" w:eastAsia="標楷體" w:hAnsi="標楷體" w:hint="eastAsia"/>
          <w:sz w:val="32"/>
          <w:szCs w:val="32"/>
        </w:rPr>
        <w:t>採</w:t>
      </w:r>
      <w:proofErr w:type="gramEnd"/>
      <w:r w:rsidR="00DE0A26">
        <w:rPr>
          <w:rFonts w:ascii="標楷體" w:eastAsia="標楷體" w:hAnsi="標楷體" w:hint="eastAsia"/>
          <w:sz w:val="32"/>
          <w:szCs w:val="32"/>
        </w:rPr>
        <w:t>公允價值模式，則本中心將以附註揭露之投資性不動產者公允價值數額為擬制性資料進行計算。</w:t>
      </w:r>
    </w:p>
    <w:p w:rsidR="00062AEF" w:rsidRDefault="00062AEF" w:rsidP="00062AEF">
      <w:pPr>
        <w:pStyle w:val="a3"/>
        <w:spacing w:beforeLines="0" w:afterLines="0" w:line="500" w:lineRule="exact"/>
        <w:ind w:leftChars="0" w:left="1456"/>
        <w:jc w:val="both"/>
        <w:rPr>
          <w:rFonts w:ascii="標楷體" w:eastAsia="標楷體" w:hAnsi="標楷體"/>
          <w:sz w:val="32"/>
          <w:szCs w:val="32"/>
        </w:rPr>
      </w:pPr>
    </w:p>
    <w:p w:rsidR="00D820D9" w:rsidRDefault="00D820D9" w:rsidP="00062AEF">
      <w:pPr>
        <w:pStyle w:val="a3"/>
        <w:spacing w:beforeLines="0" w:afterLines="0" w:line="500" w:lineRule="exact"/>
        <w:ind w:leftChars="0" w:left="1456"/>
        <w:jc w:val="both"/>
        <w:rPr>
          <w:rFonts w:ascii="標楷體" w:eastAsia="標楷體" w:hAnsi="標楷體"/>
          <w:sz w:val="32"/>
          <w:szCs w:val="32"/>
        </w:rPr>
      </w:pPr>
    </w:p>
    <w:p w:rsidR="00D820D9" w:rsidRDefault="00D820D9" w:rsidP="00062AEF">
      <w:pPr>
        <w:pStyle w:val="a3"/>
        <w:spacing w:beforeLines="0" w:afterLines="0" w:line="500" w:lineRule="exact"/>
        <w:ind w:leftChars="0" w:left="1456"/>
        <w:jc w:val="both"/>
        <w:rPr>
          <w:rFonts w:ascii="標楷體" w:eastAsia="標楷體" w:hAnsi="標楷體"/>
          <w:sz w:val="32"/>
          <w:szCs w:val="32"/>
        </w:rPr>
      </w:pPr>
    </w:p>
    <w:p w:rsidR="00D820D9" w:rsidRDefault="00D820D9" w:rsidP="00062AEF">
      <w:pPr>
        <w:pStyle w:val="a3"/>
        <w:spacing w:beforeLines="0" w:afterLines="0" w:line="500" w:lineRule="exact"/>
        <w:ind w:leftChars="0" w:left="1456"/>
        <w:jc w:val="both"/>
        <w:rPr>
          <w:rFonts w:ascii="標楷體" w:eastAsia="標楷體" w:hAnsi="標楷體"/>
          <w:sz w:val="32"/>
          <w:szCs w:val="32"/>
        </w:rPr>
      </w:pPr>
    </w:p>
    <w:p w:rsidR="00D820D9" w:rsidRDefault="00D820D9" w:rsidP="00062AEF">
      <w:pPr>
        <w:pStyle w:val="a3"/>
        <w:spacing w:beforeLines="0" w:afterLines="0" w:line="500" w:lineRule="exact"/>
        <w:ind w:leftChars="0" w:left="1456"/>
        <w:jc w:val="both"/>
        <w:rPr>
          <w:rFonts w:ascii="標楷體" w:eastAsia="標楷體" w:hAnsi="標楷體"/>
          <w:sz w:val="32"/>
          <w:szCs w:val="32"/>
        </w:rPr>
      </w:pPr>
    </w:p>
    <w:p w:rsidR="009134D1" w:rsidRDefault="009134D1" w:rsidP="00062AEF">
      <w:pPr>
        <w:pStyle w:val="a3"/>
        <w:spacing w:beforeLines="0" w:afterLines="0" w:line="500" w:lineRule="exact"/>
        <w:ind w:leftChars="0" w:left="1456"/>
        <w:jc w:val="both"/>
        <w:rPr>
          <w:rFonts w:ascii="標楷體" w:eastAsia="標楷體" w:hAnsi="標楷體"/>
          <w:sz w:val="32"/>
          <w:szCs w:val="32"/>
        </w:rPr>
      </w:pPr>
    </w:p>
    <w:p w:rsidR="00D820D9" w:rsidRDefault="00D820D9" w:rsidP="00062AEF">
      <w:pPr>
        <w:pStyle w:val="a3"/>
        <w:spacing w:beforeLines="0" w:afterLines="0" w:line="500" w:lineRule="exact"/>
        <w:ind w:leftChars="0" w:left="1456"/>
        <w:jc w:val="both"/>
        <w:rPr>
          <w:rFonts w:ascii="標楷體" w:eastAsia="標楷體" w:hAnsi="標楷體"/>
          <w:sz w:val="32"/>
          <w:szCs w:val="32"/>
        </w:rPr>
      </w:pPr>
    </w:p>
    <w:p w:rsidR="00562F9F" w:rsidRDefault="00062AEF">
      <w:pPr>
        <w:pStyle w:val="a3"/>
        <w:numPr>
          <w:ilvl w:val="0"/>
          <w:numId w:val="12"/>
        </w:numPr>
        <w:spacing w:beforeLines="0" w:afterLines="0" w:line="0" w:lineRule="atLeast"/>
        <w:ind w:leftChars="0"/>
        <w:outlineLvl w:val="1"/>
        <w:rPr>
          <w:rFonts w:ascii="標楷體" w:eastAsia="標楷體" w:hAnsi="標楷體" w:cs="Times New Roman"/>
          <w:sz w:val="32"/>
          <w:szCs w:val="32"/>
        </w:rPr>
      </w:pPr>
      <w:bookmarkStart w:id="9" w:name="_Toc429750446"/>
      <w:r w:rsidRPr="00AC4434">
        <w:rPr>
          <w:rFonts w:ascii="標楷體" w:eastAsia="標楷體" w:hAnsi="標楷體" w:cs="Times New Roman" w:hint="eastAsia"/>
          <w:sz w:val="32"/>
          <w:szCs w:val="32"/>
        </w:rPr>
        <w:t>統計數值</w:t>
      </w:r>
      <w:r>
        <w:rPr>
          <w:rFonts w:ascii="標楷體" w:eastAsia="標楷體" w:hAnsi="標楷體" w:cs="Times New Roman" w:hint="eastAsia"/>
          <w:sz w:val="32"/>
          <w:szCs w:val="32"/>
        </w:rPr>
        <w:t>說明</w:t>
      </w:r>
      <w:bookmarkEnd w:id="9"/>
    </w:p>
    <w:p w:rsidR="003C1155" w:rsidRPr="00062AEF" w:rsidRDefault="003C1155" w:rsidP="00751169">
      <w:pPr>
        <w:pStyle w:val="a9"/>
        <w:spacing w:before="180" w:after="180" w:line="500" w:lineRule="exact"/>
        <w:ind w:left="1440"/>
        <w:rPr>
          <w:rFonts w:ascii="標楷體" w:eastAsia="標楷體" w:hAnsi="標楷體"/>
          <w:sz w:val="32"/>
          <w:szCs w:val="32"/>
        </w:rPr>
      </w:pPr>
      <w:r w:rsidRPr="00062AEF">
        <w:rPr>
          <w:rFonts w:ascii="標楷體" w:eastAsia="標楷體" w:hAnsi="標楷體" w:hint="eastAsia"/>
          <w:sz w:val="32"/>
          <w:szCs w:val="32"/>
        </w:rPr>
        <w:t>A：簡單算術平均數</w:t>
      </w:r>
    </w:p>
    <w:p w:rsid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先計算個別樣本企業之各項財務比率，再求算樣本行業財務</w:t>
      </w:r>
      <w:proofErr w:type="gramStart"/>
      <w:r w:rsidRPr="003C1155">
        <w:rPr>
          <w:rFonts w:ascii="標楷體" w:eastAsia="標楷體" w:hAnsi="標楷體" w:hint="eastAsia"/>
          <w:sz w:val="32"/>
          <w:szCs w:val="32"/>
        </w:rPr>
        <w:t>比率均值</w:t>
      </w:r>
      <w:proofErr w:type="gramEnd"/>
      <w:r w:rsidRPr="003C1155">
        <w:rPr>
          <w:rFonts w:ascii="標楷體" w:eastAsia="標楷體" w:hAnsi="標楷體" w:hint="eastAsia"/>
          <w:sz w:val="32"/>
          <w:szCs w:val="32"/>
        </w:rPr>
        <w:t>。若x/y表某一財務比率，則行業財務比率A為：</w:t>
      </w:r>
    </w:p>
    <w:p w:rsidR="003C1155" w:rsidRPr="000E3D55" w:rsidRDefault="003C1155" w:rsidP="003C1155">
      <w:pPr>
        <w:spacing w:before="180" w:after="180"/>
        <w:ind w:firstLineChars="500" w:firstLine="1600"/>
        <w:rPr>
          <w:rFonts w:ascii="標楷體" w:eastAsia="標楷體" w:hAnsi="標楷體"/>
          <w:sz w:val="32"/>
          <w:szCs w:val="32"/>
        </w:rPr>
      </w:pPr>
      <w:r w:rsidRPr="000E3D55">
        <w:rPr>
          <w:rFonts w:ascii="標楷體" w:eastAsia="標楷體" w:hAnsi="標楷體"/>
          <w:position w:val="-30"/>
          <w:sz w:val="32"/>
          <w:szCs w:val="32"/>
          <w:u w:val="single"/>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48pt" o:ole="">
            <v:imagedata r:id="rId17" o:title=""/>
          </v:shape>
          <o:OLEObject Type="Embed" ProgID="Equation.3" ShapeID="_x0000_i1025" DrawAspect="Content" ObjectID="_1505740668" r:id="rId18"/>
        </w:object>
      </w:r>
      <w:r w:rsidRPr="000E3D55">
        <w:rPr>
          <w:rFonts w:ascii="標楷體" w:eastAsia="標楷體" w:hAnsi="標楷體" w:hint="eastAsia"/>
          <w:sz w:val="32"/>
          <w:szCs w:val="32"/>
        </w:rPr>
        <w:t xml:space="preserve">    =   </w:t>
      </w:r>
      <w:r w:rsidRPr="000E3D55">
        <w:rPr>
          <w:rFonts w:ascii="標楷體" w:eastAsia="標楷體" w:hAnsi="標楷體"/>
          <w:position w:val="-30"/>
          <w:sz w:val="32"/>
          <w:szCs w:val="32"/>
          <w:u w:val="single"/>
        </w:rPr>
        <w:object w:dxaOrig="600" w:dyaOrig="780">
          <v:shape id="_x0000_i1026" type="#_x0000_t75" style="width:40.5pt;height:55.5pt" o:ole="">
            <v:imagedata r:id="rId19" o:title=""/>
          </v:shape>
          <o:OLEObject Type="Embed" ProgID="Equation.3" ShapeID="_x0000_i1026" DrawAspect="Content" ObjectID="_1505740669" r:id="rId20"/>
        </w:object>
      </w:r>
    </w:p>
    <w:p w:rsidR="003C1155" w:rsidRPr="003C1155" w:rsidRDefault="003C1155" w:rsidP="003C1155">
      <w:pPr>
        <w:spacing w:before="180" w:after="180" w:line="240" w:lineRule="exact"/>
        <w:ind w:firstLineChars="500" w:firstLine="1600"/>
        <w:rPr>
          <w:rFonts w:ascii="標楷體" w:eastAsia="標楷體" w:hAnsi="標楷體"/>
          <w:sz w:val="32"/>
          <w:szCs w:val="32"/>
        </w:rPr>
      </w:pPr>
      <w:r w:rsidRPr="000E3D55">
        <w:rPr>
          <w:rFonts w:ascii="標楷體" w:eastAsia="標楷體" w:hAnsi="標楷體" w:hint="eastAsia"/>
          <w:sz w:val="32"/>
          <w:szCs w:val="32"/>
        </w:rPr>
        <w:t xml:space="preserve">           </w:t>
      </w:r>
      <w:proofErr w:type="gramStart"/>
      <w:r w:rsidRPr="000E3D55">
        <w:rPr>
          <w:rFonts w:ascii="標楷體" w:eastAsia="標楷體" w:hAnsi="標楷體" w:hint="eastAsia"/>
          <w:sz w:val="32"/>
          <w:szCs w:val="32"/>
        </w:rPr>
        <w:t>n</w:t>
      </w:r>
      <w:proofErr w:type="gramEnd"/>
      <w:r w:rsidRPr="000E3D55">
        <w:rPr>
          <w:rFonts w:ascii="標楷體" w:eastAsia="標楷體" w:hAnsi="標楷體" w:hint="eastAsia"/>
          <w:sz w:val="32"/>
          <w:szCs w:val="32"/>
        </w:rPr>
        <w:t xml:space="preserve">                  </w:t>
      </w:r>
      <w:proofErr w:type="spellStart"/>
      <w:r w:rsidRPr="000E3D55">
        <w:rPr>
          <w:rFonts w:ascii="標楷體" w:eastAsia="標楷體" w:hAnsi="標楷體" w:hint="eastAsia"/>
          <w:sz w:val="32"/>
          <w:szCs w:val="32"/>
        </w:rPr>
        <w:t>n</w:t>
      </w:r>
      <w:proofErr w:type="spellEnd"/>
    </w:p>
    <w:p w:rsidR="003C1155" w:rsidRPr="003C1155" w:rsidRDefault="003C1155" w:rsidP="003C1155">
      <w:pPr>
        <w:tabs>
          <w:tab w:val="left" w:pos="-142"/>
        </w:tabs>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本法為平均比率之原始定義，其中個別樣本重要性，一視同仁。在樣本中不具</w:t>
      </w:r>
      <w:proofErr w:type="gramStart"/>
      <w:r w:rsidRPr="003C1155">
        <w:rPr>
          <w:rFonts w:ascii="標楷體" w:eastAsia="標楷體" w:hAnsi="標楷體" w:hint="eastAsia"/>
          <w:sz w:val="32"/>
          <w:szCs w:val="32"/>
        </w:rPr>
        <w:t>特異值</w:t>
      </w:r>
      <w:proofErr w:type="gramEnd"/>
      <w:r w:rsidRPr="003C1155">
        <w:rPr>
          <w:rFonts w:ascii="標楷體" w:eastAsia="標楷體" w:hAnsi="標楷體" w:hint="eastAsia"/>
          <w:sz w:val="32"/>
          <w:szCs w:val="32"/>
        </w:rPr>
        <w:t>之情況下，本法所得數值最能表現行業中某項財務比率之平均特性。</w:t>
      </w:r>
    </w:p>
    <w:p w:rsidR="003C1155" w:rsidRPr="000E3D55" w:rsidRDefault="003C1155" w:rsidP="003C1155">
      <w:pPr>
        <w:pStyle w:val="a9"/>
        <w:spacing w:before="180" w:after="180" w:line="500" w:lineRule="exact"/>
        <w:ind w:left="1440"/>
        <w:rPr>
          <w:rFonts w:ascii="標楷體" w:eastAsia="標楷體" w:hAnsi="標楷體"/>
          <w:sz w:val="32"/>
          <w:szCs w:val="32"/>
        </w:rPr>
      </w:pPr>
      <w:r w:rsidRPr="000E3D55">
        <w:rPr>
          <w:rFonts w:ascii="標楷體" w:eastAsia="標楷體" w:hAnsi="標楷體" w:hint="eastAsia"/>
          <w:sz w:val="32"/>
          <w:szCs w:val="32"/>
        </w:rPr>
        <w:t>A+：綜合平均數</w:t>
      </w:r>
    </w:p>
    <w:p w:rsidR="003C1155" w:rsidRP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係將個別樣本企業有關會計項目金額之總和相除，求得樣本行業算術平均數。</w:t>
      </w:r>
    </w:p>
    <w:p w:rsid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例如：x表企業流動資產科目，y表企業流動負債科目，則行業平均流動比率A+為：</w:t>
      </w:r>
    </w:p>
    <w:p w:rsidR="003C1155" w:rsidRPr="003C1155" w:rsidRDefault="00E83285" w:rsidP="003C1155">
      <w:pPr>
        <w:spacing w:before="180" w:after="180" w:line="500" w:lineRule="exact"/>
        <w:ind w:left="1440"/>
        <w:rPr>
          <w:rFonts w:ascii="標楷體" w:eastAsia="標楷體" w:hAnsi="標楷體"/>
          <w:sz w:val="32"/>
          <w:szCs w:val="32"/>
          <w:u w:val="single"/>
        </w:rPr>
      </w:pPr>
      <w:r w:rsidRPr="00E83285">
        <w:rPr>
          <w:noProof/>
        </w:rPr>
        <w:pict>
          <v:shapetype id="_x0000_t202" coordsize="21600,21600" o:spt="202" path="m,l,21600r21600,l21600,xe">
            <v:stroke joinstyle="miter"/>
            <v:path gradientshapeok="t" o:connecttype="rect"/>
          </v:shapetype>
          <v:shape id="_x0000_s1033" type="#_x0000_t202" style="position:absolute;left:0;text-align:left;margin-left:204.6pt;margin-top:24.55pt;width:53.8pt;height:34.6pt;z-index:251587584" filled="f" stroked="f">
            <v:textbox style="mso-next-textbox:#_x0000_s1033">
              <w:txbxContent>
                <w:p w:rsidR="00562F9F" w:rsidRDefault="00562F9F" w:rsidP="003C1155">
                  <w:pPr>
                    <w:spacing w:before="180" w:after="180"/>
                    <w:ind w:firstLine="480"/>
                  </w:pPr>
                  <w:r>
                    <w:rPr>
                      <w:rFonts w:hint="eastAsia"/>
                    </w:rPr>
                    <w:t>＝</w:t>
                  </w:r>
                </w:p>
              </w:txbxContent>
            </v:textbox>
          </v:shape>
        </w:pict>
      </w:r>
      <w:r w:rsidR="003C1155" w:rsidRPr="003C1155">
        <w:rPr>
          <w:rFonts w:ascii="標楷體" w:eastAsia="標楷體" w:hAnsi="標楷體" w:hint="eastAsia"/>
          <w:sz w:val="32"/>
          <w:szCs w:val="32"/>
        </w:rPr>
        <w:t xml:space="preserve">    X1＋X2＋</w:t>
      </w:r>
      <w:r w:rsidR="003C1155" w:rsidRPr="003C1155">
        <w:rPr>
          <w:rFonts w:ascii="標楷體" w:eastAsia="標楷體" w:hAnsi="標楷體"/>
          <w:sz w:val="32"/>
          <w:szCs w:val="32"/>
        </w:rPr>
        <w:t>…</w:t>
      </w:r>
      <w:r w:rsidR="003C1155" w:rsidRPr="003C1155">
        <w:rPr>
          <w:rFonts w:ascii="標楷體" w:eastAsia="標楷體" w:hAnsi="標楷體" w:hint="eastAsia"/>
          <w:sz w:val="32"/>
          <w:szCs w:val="32"/>
        </w:rPr>
        <w:t>＋</w:t>
      </w:r>
      <w:proofErr w:type="spellStart"/>
      <w:r w:rsidR="003C1155" w:rsidRPr="003C1155">
        <w:rPr>
          <w:rFonts w:ascii="標楷體" w:eastAsia="標楷體" w:hAnsi="標楷體" w:hint="eastAsia"/>
          <w:sz w:val="32"/>
          <w:szCs w:val="32"/>
        </w:rPr>
        <w:t>Xn</w:t>
      </w:r>
      <w:proofErr w:type="spellEnd"/>
      <w:r w:rsidR="003C1155" w:rsidRPr="003C1155">
        <w:rPr>
          <w:rFonts w:ascii="標楷體" w:eastAsia="標楷體" w:hAnsi="標楷體" w:hint="eastAsia"/>
          <w:sz w:val="32"/>
          <w:szCs w:val="32"/>
        </w:rPr>
        <w:t xml:space="preserve">      </w:t>
      </w:r>
      <w:r w:rsidR="003C1155" w:rsidRPr="000E3D55">
        <w:rPr>
          <w:position w:val="-28"/>
        </w:rPr>
        <w:object w:dxaOrig="560" w:dyaOrig="680">
          <v:shape id="_x0000_i1027" type="#_x0000_t75" style="width:37.5pt;height:45.75pt" o:ole="">
            <v:imagedata r:id="rId21" o:title=""/>
          </v:shape>
          <o:OLEObject Type="Embed" ProgID="Equation.3" ShapeID="_x0000_i1027" DrawAspect="Content" ObjectID="_1505740670" r:id="rId22"/>
        </w:object>
      </w:r>
    </w:p>
    <w:p w:rsidR="003C1155" w:rsidRPr="003C1155" w:rsidRDefault="00E83285" w:rsidP="003C1155">
      <w:pPr>
        <w:spacing w:before="180" w:after="180" w:line="500" w:lineRule="exact"/>
        <w:ind w:left="1440"/>
        <w:rPr>
          <w:rFonts w:ascii="標楷體" w:eastAsia="標楷體" w:hAnsi="標楷體"/>
          <w:sz w:val="32"/>
          <w:szCs w:val="32"/>
        </w:rPr>
      </w:pPr>
      <w:r w:rsidRPr="00E83285">
        <w:rPr>
          <w:noProof/>
        </w:rPr>
        <w:pict>
          <v:line id="_x0000_s1031" style="position:absolute;left:0;text-align:left;z-index:251588608" from="91.75pt,.25pt" to="229.5pt,.25pt"/>
        </w:pict>
      </w:r>
      <w:r w:rsidRPr="00E83285">
        <w:rPr>
          <w:noProof/>
        </w:rPr>
        <w:pict>
          <v:line id="_x0000_s1032" style="position:absolute;left:0;text-align:left;flip:y;z-index:251589632" from="257.3pt,.55pt" to="322.5pt,.85pt"/>
        </w:pict>
      </w:r>
      <w:r w:rsidR="003C1155" w:rsidRPr="003C1155">
        <w:rPr>
          <w:rFonts w:ascii="標楷體" w:eastAsia="標楷體" w:hAnsi="標楷體" w:hint="eastAsia"/>
          <w:sz w:val="32"/>
          <w:szCs w:val="32"/>
        </w:rPr>
        <w:t xml:space="preserve">    Y1＋Y2＋</w:t>
      </w:r>
      <w:r w:rsidR="003C1155" w:rsidRPr="003C1155">
        <w:rPr>
          <w:rFonts w:ascii="標楷體" w:eastAsia="標楷體" w:hAnsi="標楷體"/>
          <w:sz w:val="32"/>
          <w:szCs w:val="32"/>
        </w:rPr>
        <w:t>…</w:t>
      </w:r>
      <w:r w:rsidR="003C1155" w:rsidRPr="003C1155">
        <w:rPr>
          <w:rFonts w:ascii="標楷體" w:eastAsia="標楷體" w:hAnsi="標楷體" w:hint="eastAsia"/>
          <w:sz w:val="32"/>
          <w:szCs w:val="32"/>
        </w:rPr>
        <w:t>＋</w:t>
      </w:r>
      <w:proofErr w:type="spellStart"/>
      <w:r w:rsidR="003C1155" w:rsidRPr="003C1155">
        <w:rPr>
          <w:rFonts w:ascii="標楷體" w:eastAsia="標楷體" w:hAnsi="標楷體" w:hint="eastAsia"/>
          <w:sz w:val="32"/>
          <w:szCs w:val="32"/>
        </w:rPr>
        <w:t>Yn</w:t>
      </w:r>
      <w:proofErr w:type="spellEnd"/>
      <w:r w:rsidR="003C1155" w:rsidRPr="003C1155">
        <w:rPr>
          <w:rFonts w:ascii="標楷體" w:eastAsia="標楷體" w:hAnsi="標楷體" w:hint="eastAsia"/>
          <w:sz w:val="32"/>
          <w:szCs w:val="32"/>
        </w:rPr>
        <w:t xml:space="preserve">      </w:t>
      </w:r>
      <w:r w:rsidR="003C1155" w:rsidRPr="000E3D55">
        <w:rPr>
          <w:position w:val="-28"/>
        </w:rPr>
        <w:object w:dxaOrig="580" w:dyaOrig="680">
          <v:shape id="_x0000_i1028" type="#_x0000_t75" style="width:43.5pt;height:36.75pt" o:ole="">
            <v:imagedata r:id="rId23" o:title=""/>
          </v:shape>
          <o:OLEObject Type="Embed" ProgID="Equation.3" ShapeID="_x0000_i1028" DrawAspect="Content" ObjectID="_1505740671" r:id="rId24"/>
        </w:object>
      </w:r>
    </w:p>
    <w:p w:rsid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本法計算之數值，將樣本中有關會計科目大小數值之特性相互抵銷，兼具加權平均數之意義。在</w:t>
      </w:r>
      <w:r w:rsidRPr="003C1155">
        <w:rPr>
          <w:rFonts w:ascii="標楷體" w:eastAsia="標楷體" w:hAnsi="標楷體" w:hint="eastAsia"/>
          <w:sz w:val="32"/>
          <w:szCs w:val="32"/>
        </w:rPr>
        <w:lastRenderedPageBreak/>
        <w:t>樣本中含有</w:t>
      </w:r>
      <w:proofErr w:type="gramStart"/>
      <w:r w:rsidRPr="003C1155">
        <w:rPr>
          <w:rFonts w:ascii="標楷體" w:eastAsia="標楷體" w:hAnsi="標楷體" w:hint="eastAsia"/>
          <w:sz w:val="32"/>
          <w:szCs w:val="32"/>
        </w:rPr>
        <w:t>特異值</w:t>
      </w:r>
      <w:proofErr w:type="gramEnd"/>
      <w:r w:rsidRPr="003C1155">
        <w:rPr>
          <w:rFonts w:ascii="標楷體" w:eastAsia="標楷體" w:hAnsi="標楷體" w:hint="eastAsia"/>
          <w:sz w:val="32"/>
          <w:szCs w:val="32"/>
        </w:rPr>
        <w:t>時，因大小互相抵銷，其平均數具有中和特性。換言之，在正常情況下，A與A+之值差距甚小，選用A較為恰當。</w:t>
      </w:r>
      <w:proofErr w:type="gramStart"/>
      <w:r w:rsidRPr="003C1155">
        <w:rPr>
          <w:rFonts w:ascii="標楷體" w:eastAsia="標楷體" w:hAnsi="標楷體" w:hint="eastAsia"/>
          <w:sz w:val="32"/>
          <w:szCs w:val="32"/>
        </w:rPr>
        <w:t>反之，</w:t>
      </w:r>
      <w:proofErr w:type="gramEnd"/>
      <w:r w:rsidRPr="003C1155">
        <w:rPr>
          <w:rFonts w:ascii="標楷體" w:eastAsia="標楷體" w:hAnsi="標楷體" w:hint="eastAsia"/>
          <w:sz w:val="32"/>
          <w:szCs w:val="32"/>
        </w:rPr>
        <w:t>當A與A+差距甚大時，表示存有</w:t>
      </w:r>
      <w:proofErr w:type="gramStart"/>
      <w:r w:rsidRPr="003C1155">
        <w:rPr>
          <w:rFonts w:ascii="標楷體" w:eastAsia="標楷體" w:hAnsi="標楷體" w:hint="eastAsia"/>
          <w:sz w:val="32"/>
          <w:szCs w:val="32"/>
        </w:rPr>
        <w:t>特異值</w:t>
      </w:r>
      <w:proofErr w:type="gramEnd"/>
      <w:r w:rsidRPr="003C1155">
        <w:rPr>
          <w:rFonts w:ascii="標楷體" w:eastAsia="標楷體" w:hAnsi="標楷體" w:hint="eastAsia"/>
          <w:sz w:val="32"/>
          <w:szCs w:val="32"/>
        </w:rPr>
        <w:t>樣本，此時或選取A+值，或採用中位數M應較適當。</w:t>
      </w:r>
    </w:p>
    <w:p w:rsidR="003C1155" w:rsidRPr="000E3D55" w:rsidRDefault="003C1155" w:rsidP="003C1155">
      <w:pPr>
        <w:pStyle w:val="a9"/>
        <w:spacing w:before="180" w:after="180" w:line="500" w:lineRule="exact"/>
        <w:ind w:left="1440"/>
        <w:rPr>
          <w:rFonts w:ascii="標楷體" w:eastAsia="標楷體" w:hAnsi="標楷體"/>
          <w:sz w:val="32"/>
          <w:szCs w:val="32"/>
        </w:rPr>
      </w:pPr>
      <w:r w:rsidRPr="000E3D55">
        <w:rPr>
          <w:rFonts w:ascii="標楷體" w:eastAsia="標楷體" w:hAnsi="標楷體" w:hint="eastAsia"/>
          <w:sz w:val="32"/>
          <w:szCs w:val="32"/>
        </w:rPr>
        <w:t>M：中位數</w:t>
      </w:r>
    </w:p>
    <w:p w:rsidR="003C1155" w:rsidRP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樣本行業族群中(group)特定財務比率，先依序自小至大排列，取其位居中間之值，即為M</w:t>
      </w:r>
      <w:r w:rsidR="001A0D68">
        <w:rPr>
          <w:rFonts w:ascii="標楷體" w:eastAsia="標楷體" w:hAnsi="標楷體" w:hint="eastAsia"/>
          <w:sz w:val="32"/>
          <w:szCs w:val="32"/>
        </w:rPr>
        <w:t>，</w:t>
      </w:r>
      <w:r w:rsidR="001A0D68" w:rsidRPr="006836C7">
        <w:rPr>
          <w:rFonts w:ascii="標楷體" w:eastAsia="標楷體" w:hAnsi="標楷體"/>
          <w:sz w:val="32"/>
          <w:szCs w:val="32"/>
        </w:rPr>
        <w:t>本數值為樣本數至少</w:t>
      </w:r>
      <w:r w:rsidR="001A0D68">
        <w:rPr>
          <w:rFonts w:ascii="標楷體" w:eastAsia="標楷體" w:hAnsi="標楷體" w:hint="eastAsia"/>
          <w:sz w:val="32"/>
          <w:szCs w:val="32"/>
        </w:rPr>
        <w:t>3</w:t>
      </w:r>
      <w:r w:rsidR="001A0D68" w:rsidRPr="006836C7">
        <w:rPr>
          <w:rFonts w:ascii="標楷體" w:eastAsia="標楷體" w:hAnsi="標楷體"/>
          <w:sz w:val="32"/>
          <w:szCs w:val="32"/>
        </w:rPr>
        <w:t>家以上才揭露</w:t>
      </w:r>
      <w:r w:rsidRPr="003C1155">
        <w:rPr>
          <w:rFonts w:ascii="標楷體" w:eastAsia="標楷體" w:hAnsi="標楷體" w:hint="eastAsia"/>
          <w:sz w:val="32"/>
          <w:szCs w:val="32"/>
        </w:rPr>
        <w:t>。</w:t>
      </w:r>
    </w:p>
    <w:p w:rsidR="003C1155" w:rsidRPr="000E3D55" w:rsidRDefault="003C1155" w:rsidP="003C1155">
      <w:pPr>
        <w:pStyle w:val="a9"/>
        <w:spacing w:before="180" w:after="180" w:line="500" w:lineRule="exact"/>
        <w:ind w:left="1440"/>
        <w:rPr>
          <w:rFonts w:ascii="標楷體" w:eastAsia="標楷體" w:hAnsi="標楷體"/>
          <w:sz w:val="32"/>
          <w:szCs w:val="32"/>
        </w:rPr>
      </w:pPr>
      <w:r w:rsidRPr="000E3D55">
        <w:rPr>
          <w:rFonts w:ascii="標楷體" w:eastAsia="標楷體" w:hAnsi="標楷體" w:hint="eastAsia"/>
          <w:sz w:val="32"/>
          <w:szCs w:val="32"/>
        </w:rPr>
        <w:t>L：下四分位數</w:t>
      </w:r>
    </w:p>
    <w:p w:rsidR="003C1155" w:rsidRP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將樣本行業族群中特定財務比率，依序自小至大排列，擇取位於四分之一（25％）樣本之值或比率</w:t>
      </w:r>
      <w:r w:rsidR="006836C7">
        <w:rPr>
          <w:rFonts w:ascii="標楷體" w:eastAsia="標楷體" w:hAnsi="標楷體" w:hint="eastAsia"/>
          <w:sz w:val="32"/>
          <w:szCs w:val="32"/>
        </w:rPr>
        <w:t>，</w:t>
      </w:r>
      <w:r w:rsidR="006836C7" w:rsidRPr="006836C7">
        <w:rPr>
          <w:rFonts w:ascii="標楷體" w:eastAsia="標楷體" w:hAnsi="標楷體"/>
          <w:sz w:val="32"/>
          <w:szCs w:val="32"/>
        </w:rPr>
        <w:t>本數值為樣本數至少10家以上才揭露</w:t>
      </w:r>
      <w:r w:rsidRPr="003C1155">
        <w:rPr>
          <w:rFonts w:ascii="標楷體" w:eastAsia="標楷體" w:hAnsi="標楷體" w:hint="eastAsia"/>
          <w:sz w:val="32"/>
          <w:szCs w:val="32"/>
        </w:rPr>
        <w:t>。</w:t>
      </w:r>
    </w:p>
    <w:p w:rsidR="003C1155" w:rsidRPr="000E3D55" w:rsidRDefault="003C1155" w:rsidP="003C1155">
      <w:pPr>
        <w:pStyle w:val="a9"/>
        <w:spacing w:before="180" w:after="180" w:line="500" w:lineRule="exact"/>
        <w:ind w:left="1440"/>
        <w:rPr>
          <w:rFonts w:ascii="標楷體" w:eastAsia="標楷體" w:hAnsi="標楷體"/>
          <w:sz w:val="32"/>
          <w:szCs w:val="32"/>
        </w:rPr>
      </w:pPr>
      <w:r w:rsidRPr="000E3D55">
        <w:rPr>
          <w:rFonts w:ascii="標楷體" w:eastAsia="標楷體" w:hAnsi="標楷體" w:hint="eastAsia"/>
          <w:sz w:val="32"/>
          <w:szCs w:val="32"/>
        </w:rPr>
        <w:t>U：上四分位數</w:t>
      </w:r>
    </w:p>
    <w:p w:rsid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依序自小至大排列，擇取位於四分之三（75％）樣本之值或比率</w:t>
      </w:r>
      <w:r w:rsidR="006836C7">
        <w:rPr>
          <w:rFonts w:ascii="標楷體" w:eastAsia="標楷體" w:hAnsi="標楷體" w:hint="eastAsia"/>
          <w:sz w:val="32"/>
          <w:szCs w:val="32"/>
        </w:rPr>
        <w:t>，</w:t>
      </w:r>
      <w:r w:rsidR="006836C7" w:rsidRPr="006836C7">
        <w:rPr>
          <w:rFonts w:ascii="標楷體" w:eastAsia="標楷體" w:hAnsi="標楷體"/>
          <w:sz w:val="32"/>
          <w:szCs w:val="32"/>
        </w:rPr>
        <w:t>本數值為樣本數至少10家以上才揭露</w:t>
      </w:r>
      <w:r w:rsidRPr="003C1155">
        <w:rPr>
          <w:rFonts w:ascii="標楷體" w:eastAsia="標楷體" w:hAnsi="標楷體" w:hint="eastAsia"/>
          <w:sz w:val="32"/>
          <w:szCs w:val="32"/>
        </w:rPr>
        <w:t>。</w:t>
      </w:r>
    </w:p>
    <w:p w:rsidR="003C1155" w:rsidRP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前述兩項公式分別為：</w:t>
      </w:r>
    </w:p>
    <w:p w:rsidR="003C1155" w:rsidRPr="003C1155" w:rsidRDefault="00E83285" w:rsidP="003C1155">
      <w:pPr>
        <w:spacing w:before="180" w:after="180"/>
        <w:ind w:left="1440"/>
        <w:rPr>
          <w:rFonts w:ascii="標楷體" w:eastAsia="標楷體" w:hAnsi="標楷體"/>
          <w:sz w:val="28"/>
          <w:szCs w:val="28"/>
        </w:rPr>
      </w:pPr>
      <w:r w:rsidRPr="00E83285">
        <w:rPr>
          <w:noProof/>
          <w:sz w:val="32"/>
          <w:szCs w:val="32"/>
        </w:rPr>
        <w:pict>
          <v:shape id="_x0000_s1034" type="#_x0000_t75" style="position:absolute;left:0;text-align:left;margin-left:78pt;margin-top:12.15pt;width:147pt;height:111.75pt;z-index:-251725824">
            <v:imagedata r:id="rId25" o:title=""/>
          </v:shape>
          <o:OLEObject Type="Embed" ProgID="Equation.3" ShapeID="_x0000_s1034" DrawAspect="Content" ObjectID="_1505740677" r:id="rId26"/>
        </w:pict>
      </w:r>
      <w:r w:rsidR="003C1155" w:rsidRPr="003C1155">
        <w:rPr>
          <w:rFonts w:ascii="標楷體" w:eastAsia="標楷體" w:hAnsi="標楷體" w:hint="eastAsia"/>
          <w:sz w:val="32"/>
          <w:szCs w:val="32"/>
        </w:rPr>
        <w:t xml:space="preserve">　　　 </w:t>
      </w:r>
      <w:r w:rsidR="003C1155" w:rsidRPr="003C1155">
        <w:rPr>
          <w:rFonts w:ascii="標楷體" w:eastAsia="標楷體" w:hAnsi="標楷體" w:hint="eastAsia"/>
          <w:sz w:val="28"/>
          <w:szCs w:val="28"/>
        </w:rPr>
        <w:t xml:space="preserve"> 　　　　　　　　　　 當</w:t>
      </w:r>
      <w:r w:rsidR="003C1155" w:rsidRPr="008D7708">
        <w:rPr>
          <w:position w:val="-24"/>
        </w:rPr>
        <w:object w:dxaOrig="240" w:dyaOrig="620">
          <v:shape id="_x0000_i1029" type="#_x0000_t75" style="width:12pt;height:35.25pt" o:ole="">
            <v:imagedata r:id="rId27" o:title=""/>
          </v:shape>
          <o:OLEObject Type="Embed" ProgID="Equation.3" ShapeID="_x0000_i1029" DrawAspect="Content" ObjectID="_1505740672" r:id="rId28"/>
        </w:object>
      </w:r>
      <w:r w:rsidR="003C1155" w:rsidRPr="003C1155">
        <w:rPr>
          <w:rFonts w:ascii="標楷體" w:eastAsia="標楷體" w:hAnsi="標楷體" w:hint="eastAsia"/>
          <w:sz w:val="28"/>
          <w:szCs w:val="28"/>
        </w:rPr>
        <w:t>不為整數時</w:t>
      </w:r>
    </w:p>
    <w:p w:rsidR="003C1155" w:rsidRPr="003C1155" w:rsidRDefault="003C1155" w:rsidP="003441D7">
      <w:pPr>
        <w:spacing w:beforeLines="100" w:after="180"/>
        <w:ind w:left="1440"/>
        <w:rPr>
          <w:rFonts w:ascii="標楷體" w:eastAsia="標楷體" w:hAnsi="標楷體"/>
          <w:sz w:val="28"/>
          <w:szCs w:val="28"/>
        </w:rPr>
      </w:pPr>
      <w:r w:rsidRPr="003C1155">
        <w:rPr>
          <w:rFonts w:ascii="標楷體" w:eastAsia="標楷體" w:hAnsi="標楷體" w:hint="eastAsia"/>
          <w:sz w:val="28"/>
          <w:szCs w:val="28"/>
        </w:rPr>
        <w:t xml:space="preserve">  　　  　　　　　　　　　　   當</w:t>
      </w:r>
      <w:r w:rsidRPr="008D7708">
        <w:rPr>
          <w:position w:val="-24"/>
        </w:rPr>
        <w:object w:dxaOrig="240" w:dyaOrig="620">
          <v:shape id="_x0000_i1030" type="#_x0000_t75" style="width:12pt;height:30.75pt" o:ole="">
            <v:imagedata r:id="rId27" o:title=""/>
          </v:shape>
          <o:OLEObject Type="Embed" ProgID="Equation.3" ShapeID="_x0000_i1030" DrawAspect="Content" ObjectID="_1505740673" r:id="rId29"/>
        </w:object>
      </w:r>
      <w:r w:rsidRPr="003C1155">
        <w:rPr>
          <w:rFonts w:ascii="標楷體" w:eastAsia="標楷體" w:hAnsi="標楷體" w:hint="eastAsia"/>
          <w:sz w:val="28"/>
          <w:szCs w:val="28"/>
        </w:rPr>
        <w:t xml:space="preserve"> 為整數時</w:t>
      </w:r>
    </w:p>
    <w:p w:rsidR="006836C7" w:rsidRDefault="003C1155" w:rsidP="003C1155">
      <w:pPr>
        <w:spacing w:before="180" w:after="180" w:line="500" w:lineRule="exact"/>
        <w:ind w:left="1440"/>
        <w:rPr>
          <w:rFonts w:ascii="標楷體" w:eastAsia="標楷體" w:hAnsi="標楷體"/>
          <w:sz w:val="28"/>
          <w:szCs w:val="28"/>
        </w:rPr>
      </w:pPr>
      <w:r>
        <w:rPr>
          <w:rFonts w:ascii="標楷體" w:eastAsia="標楷體" w:hAnsi="標楷體" w:hint="eastAsia"/>
          <w:sz w:val="28"/>
          <w:szCs w:val="28"/>
        </w:rPr>
        <w:t xml:space="preserve"> </w:t>
      </w:r>
    </w:p>
    <w:p w:rsidR="003C1155" w:rsidRDefault="003C1155" w:rsidP="003C1155">
      <w:pPr>
        <w:spacing w:before="180" w:after="180" w:line="500" w:lineRule="exact"/>
        <w:ind w:left="1440"/>
        <w:rPr>
          <w:rFonts w:ascii="標楷體" w:eastAsia="標楷體" w:hAnsi="標楷體"/>
          <w:sz w:val="28"/>
          <w:szCs w:val="28"/>
        </w:rPr>
      </w:pPr>
      <w:r>
        <w:rPr>
          <w:rFonts w:ascii="標楷體" w:eastAsia="標楷體" w:hAnsi="標楷體" w:hint="eastAsia"/>
          <w:sz w:val="28"/>
          <w:szCs w:val="28"/>
        </w:rPr>
        <w:t xml:space="preserve"> </w:t>
      </w:r>
      <w:r w:rsidRPr="003C1155">
        <w:rPr>
          <w:rFonts w:ascii="標楷體" w:eastAsia="標楷體" w:hAnsi="標楷體" w:hint="eastAsia"/>
          <w:sz w:val="28"/>
          <w:szCs w:val="28"/>
        </w:rPr>
        <w:t>n：為樣本數　[  ]：表示取整數</w:t>
      </w:r>
    </w:p>
    <w:p w:rsidR="00D820D9" w:rsidRPr="003C1155" w:rsidRDefault="00D820D9" w:rsidP="003C1155">
      <w:pPr>
        <w:spacing w:before="180" w:after="180" w:line="500" w:lineRule="exact"/>
        <w:ind w:left="1440"/>
        <w:rPr>
          <w:rFonts w:ascii="標楷體" w:eastAsia="標楷體" w:hAnsi="標楷體"/>
          <w:sz w:val="28"/>
          <w:szCs w:val="28"/>
        </w:rPr>
      </w:pPr>
    </w:p>
    <w:p w:rsidR="003C1155" w:rsidRPr="003C1155" w:rsidRDefault="00E83285" w:rsidP="003441D7">
      <w:pPr>
        <w:spacing w:beforeLines="100" w:after="180" w:line="500" w:lineRule="exact"/>
        <w:ind w:left="1440"/>
        <w:rPr>
          <w:rFonts w:ascii="標楷體" w:eastAsia="標楷體" w:hAnsi="標楷體"/>
          <w:sz w:val="28"/>
          <w:szCs w:val="28"/>
        </w:rPr>
      </w:pPr>
      <w:r w:rsidRPr="00E83285">
        <w:rPr>
          <w:noProof/>
          <w:sz w:val="32"/>
          <w:szCs w:val="32"/>
        </w:rPr>
        <w:pict>
          <v:shape id="_x0000_s1035" type="#_x0000_t75" style="position:absolute;left:0;text-align:left;margin-left:73.5pt;margin-top:9.15pt;width:161.65pt;height:114.9pt;z-index:-251724800">
            <v:imagedata r:id="rId30" o:title=""/>
          </v:shape>
          <o:OLEObject Type="Embed" ProgID="Equation.3" ShapeID="_x0000_s1035" DrawAspect="Content" ObjectID="_1505740678" r:id="rId31"/>
        </w:pict>
      </w:r>
      <w:r w:rsidR="003C1155" w:rsidRPr="003C1155">
        <w:rPr>
          <w:rFonts w:ascii="標楷體" w:eastAsia="標楷體" w:hAnsi="標楷體" w:hint="eastAsia"/>
          <w:sz w:val="32"/>
          <w:szCs w:val="32"/>
        </w:rPr>
        <w:t xml:space="preserve">　　</w:t>
      </w:r>
      <w:r w:rsidR="003C1155" w:rsidRPr="003C1155">
        <w:rPr>
          <w:rFonts w:ascii="標楷體" w:eastAsia="標楷體" w:hAnsi="標楷體" w:hint="eastAsia"/>
          <w:sz w:val="28"/>
          <w:szCs w:val="28"/>
        </w:rPr>
        <w:t xml:space="preserve">　　　　　　　　　 　　　  當</w:t>
      </w:r>
      <w:r w:rsidR="003C1155" w:rsidRPr="008D7708">
        <w:rPr>
          <w:position w:val="-24"/>
        </w:rPr>
        <w:object w:dxaOrig="340" w:dyaOrig="620">
          <v:shape id="_x0000_i1031" type="#_x0000_t75" style="width:17.25pt;height:30.75pt" o:ole="">
            <v:imagedata r:id="rId32" o:title=""/>
          </v:shape>
          <o:OLEObject Type="Embed" ProgID="Equation.3" ShapeID="_x0000_i1031" DrawAspect="Content" ObjectID="_1505740674" r:id="rId33"/>
        </w:object>
      </w:r>
      <w:r w:rsidR="003C1155" w:rsidRPr="003C1155">
        <w:rPr>
          <w:rFonts w:ascii="標楷體" w:eastAsia="標楷體" w:hAnsi="標楷體" w:hint="eastAsia"/>
          <w:sz w:val="28"/>
          <w:szCs w:val="28"/>
        </w:rPr>
        <w:t>不為整數時</w:t>
      </w:r>
    </w:p>
    <w:p w:rsidR="00E83285" w:rsidRDefault="003C1155" w:rsidP="00121103">
      <w:pPr>
        <w:spacing w:beforeLines="100" w:after="180" w:line="500" w:lineRule="exact"/>
        <w:ind w:left="1440"/>
        <w:rPr>
          <w:rFonts w:ascii="標楷體" w:eastAsia="標楷體" w:hAnsi="標楷體"/>
          <w:sz w:val="28"/>
          <w:szCs w:val="28"/>
        </w:rPr>
      </w:pPr>
      <w:r w:rsidRPr="003C1155">
        <w:rPr>
          <w:rFonts w:ascii="標楷體" w:eastAsia="標楷體" w:hAnsi="標楷體" w:hint="eastAsia"/>
          <w:sz w:val="28"/>
          <w:szCs w:val="28"/>
        </w:rPr>
        <w:t xml:space="preserve">  　　　　　　　　　　　　　     當</w:t>
      </w:r>
      <w:bookmarkStart w:id="10" w:name="OLE_LINK2"/>
      <w:r w:rsidRPr="008D7708">
        <w:rPr>
          <w:position w:val="-24"/>
        </w:rPr>
        <w:object w:dxaOrig="340" w:dyaOrig="620">
          <v:shape id="_x0000_i1032" type="#_x0000_t75" style="width:17.25pt;height:30.75pt" o:ole="">
            <v:imagedata r:id="rId34" o:title=""/>
          </v:shape>
          <o:OLEObject Type="Embed" ProgID="Equation.3" ShapeID="_x0000_i1032" DrawAspect="Content" ObjectID="_1505740675" r:id="rId35"/>
        </w:object>
      </w:r>
      <w:bookmarkEnd w:id="10"/>
      <w:r w:rsidRPr="003C1155">
        <w:rPr>
          <w:rFonts w:ascii="標楷體" w:eastAsia="標楷體" w:hAnsi="標楷體" w:hint="eastAsia"/>
          <w:sz w:val="28"/>
          <w:szCs w:val="28"/>
        </w:rPr>
        <w:t xml:space="preserve"> 為整數時</w:t>
      </w:r>
    </w:p>
    <w:p w:rsidR="003C1155" w:rsidRDefault="003C1155" w:rsidP="003C1155">
      <w:pPr>
        <w:spacing w:before="180" w:after="180" w:line="500" w:lineRule="exact"/>
        <w:ind w:left="1440"/>
        <w:rPr>
          <w:rFonts w:ascii="標楷體" w:eastAsia="標楷體" w:hAnsi="標楷體"/>
          <w:sz w:val="28"/>
          <w:szCs w:val="28"/>
        </w:rPr>
      </w:pPr>
      <w:r w:rsidRPr="003C1155">
        <w:rPr>
          <w:rFonts w:ascii="標楷體" w:eastAsia="標楷體" w:hAnsi="標楷體" w:hint="eastAsia"/>
          <w:sz w:val="28"/>
          <w:szCs w:val="28"/>
        </w:rPr>
        <w:t xml:space="preserve">　         </w:t>
      </w:r>
    </w:p>
    <w:p w:rsidR="003C1155" w:rsidRPr="003C1155" w:rsidRDefault="003C1155" w:rsidP="003C1155">
      <w:pPr>
        <w:spacing w:before="180" w:after="180" w:line="500" w:lineRule="exact"/>
        <w:ind w:left="1440"/>
        <w:rPr>
          <w:rFonts w:ascii="標楷體" w:eastAsia="標楷體" w:hAnsi="標楷體"/>
          <w:sz w:val="28"/>
          <w:szCs w:val="28"/>
        </w:rPr>
      </w:pPr>
      <w:r>
        <w:rPr>
          <w:rFonts w:ascii="標楷體" w:eastAsia="標楷體" w:hAnsi="標楷體" w:hint="eastAsia"/>
          <w:sz w:val="28"/>
          <w:szCs w:val="28"/>
        </w:rPr>
        <w:t xml:space="preserve">  </w:t>
      </w:r>
      <w:r w:rsidRPr="003C1155">
        <w:rPr>
          <w:rFonts w:ascii="標楷體" w:eastAsia="標楷體" w:hAnsi="標楷體" w:hint="eastAsia"/>
          <w:sz w:val="28"/>
          <w:szCs w:val="28"/>
        </w:rPr>
        <w:t>n：為樣本數　[  ]：表示取整數</w:t>
      </w:r>
    </w:p>
    <w:p w:rsidR="003C1155" w:rsidRPr="000E3D55" w:rsidRDefault="003C1155" w:rsidP="003441D7">
      <w:pPr>
        <w:pStyle w:val="a9"/>
        <w:spacing w:beforeLines="20" w:afterLines="20" w:line="500" w:lineRule="exact"/>
        <w:ind w:left="1440"/>
        <w:rPr>
          <w:rFonts w:ascii="標楷體" w:eastAsia="標楷體" w:hAnsi="標楷體"/>
          <w:sz w:val="32"/>
          <w:szCs w:val="32"/>
        </w:rPr>
      </w:pPr>
      <w:r w:rsidRPr="000E3D55">
        <w:rPr>
          <w:rFonts w:ascii="標楷體" w:eastAsia="標楷體" w:hAnsi="標楷體" w:hint="eastAsia"/>
          <w:sz w:val="32"/>
          <w:szCs w:val="32"/>
        </w:rPr>
        <w:t>S：標準差</w:t>
      </w:r>
    </w:p>
    <w:p w:rsidR="003C1155" w:rsidRDefault="003C1155" w:rsidP="003C1155">
      <w:pPr>
        <w:spacing w:before="180" w:after="180" w:line="500" w:lineRule="exact"/>
        <w:ind w:left="1440"/>
        <w:rPr>
          <w:rFonts w:ascii="標楷體" w:eastAsia="標楷體" w:hAnsi="標楷體"/>
          <w:sz w:val="32"/>
          <w:szCs w:val="32"/>
        </w:rPr>
      </w:pPr>
      <w:r w:rsidRPr="003C1155">
        <w:rPr>
          <w:rFonts w:ascii="標楷體" w:eastAsia="標楷體" w:hAnsi="標楷體" w:hint="eastAsia"/>
          <w:sz w:val="32"/>
          <w:szCs w:val="32"/>
        </w:rPr>
        <w:t>標準差之意義，要在顯示樣本中每一數值與平均值之平均差異情況，對同一規模樣本之異質程度，提供一項量化指標</w:t>
      </w:r>
      <w:r w:rsidR="00777C0C">
        <w:rPr>
          <w:rFonts w:ascii="標楷體" w:eastAsia="標楷體" w:hAnsi="標楷體" w:hint="eastAsia"/>
          <w:sz w:val="32"/>
          <w:szCs w:val="32"/>
        </w:rPr>
        <w:t>，</w:t>
      </w:r>
      <w:r w:rsidR="00777C0C" w:rsidRPr="006836C7">
        <w:rPr>
          <w:rFonts w:ascii="標楷體" w:eastAsia="標楷體" w:hAnsi="標楷體"/>
          <w:sz w:val="32"/>
          <w:szCs w:val="32"/>
        </w:rPr>
        <w:t>本數值為樣本數至少</w:t>
      </w:r>
      <w:r w:rsidR="00777C0C">
        <w:rPr>
          <w:rFonts w:ascii="標楷體" w:eastAsia="標楷體" w:hAnsi="標楷體" w:hint="eastAsia"/>
          <w:sz w:val="32"/>
          <w:szCs w:val="32"/>
        </w:rPr>
        <w:t>2</w:t>
      </w:r>
      <w:r w:rsidR="00777C0C" w:rsidRPr="006836C7">
        <w:rPr>
          <w:rFonts w:ascii="標楷體" w:eastAsia="標楷體" w:hAnsi="標楷體"/>
          <w:sz w:val="32"/>
          <w:szCs w:val="32"/>
        </w:rPr>
        <w:t>家以上才揭露</w:t>
      </w:r>
      <w:r w:rsidRPr="003C1155">
        <w:rPr>
          <w:rFonts w:ascii="標楷體" w:eastAsia="標楷體" w:hAnsi="標楷體" w:hint="eastAsia"/>
          <w:sz w:val="32"/>
          <w:szCs w:val="32"/>
        </w:rPr>
        <w:t>。其計算公式如下：</w:t>
      </w:r>
    </w:p>
    <w:p w:rsidR="003C1155" w:rsidRPr="000E3D55" w:rsidRDefault="003C1155" w:rsidP="003441D7">
      <w:pPr>
        <w:spacing w:beforeLines="80" w:afterLines="80" w:line="500" w:lineRule="exact"/>
        <w:ind w:firstLineChars="900" w:firstLine="2880"/>
        <w:rPr>
          <w:rFonts w:ascii="標楷體" w:eastAsia="標楷體" w:hAnsi="標楷體"/>
          <w:sz w:val="32"/>
          <w:szCs w:val="32"/>
        </w:rPr>
      </w:pPr>
      <w:r w:rsidRPr="000E3D55">
        <w:rPr>
          <w:rFonts w:ascii="標楷體" w:eastAsia="標楷體" w:hAnsi="標楷體"/>
          <w:position w:val="-26"/>
          <w:sz w:val="32"/>
          <w:szCs w:val="32"/>
        </w:rPr>
        <w:object w:dxaOrig="1780" w:dyaOrig="760">
          <v:shape id="_x0000_i1033" type="#_x0000_t75" style="width:89.25pt;height:38.25pt" o:ole="">
            <v:imagedata r:id="rId36" o:title=""/>
          </v:shape>
          <o:OLEObject Type="Embed" ProgID="Equation.3" ShapeID="_x0000_i1033" DrawAspect="Content" ObjectID="_1505740676" r:id="rId37"/>
        </w:object>
      </w:r>
    </w:p>
    <w:p w:rsidR="003C1155" w:rsidRPr="003C1155" w:rsidRDefault="003C1155" w:rsidP="003C1155">
      <w:pPr>
        <w:spacing w:beforeLines="0" w:afterLines="0" w:line="500" w:lineRule="exact"/>
        <w:ind w:left="1440"/>
        <w:rPr>
          <w:rFonts w:ascii="標楷體" w:eastAsia="標楷體" w:hAnsi="標楷體"/>
          <w:sz w:val="28"/>
          <w:szCs w:val="28"/>
        </w:rPr>
      </w:pPr>
      <w:r w:rsidRPr="003C1155">
        <w:rPr>
          <w:rFonts w:ascii="標楷體" w:eastAsia="標楷體" w:hAnsi="標楷體" w:hint="eastAsia"/>
          <w:sz w:val="28"/>
          <w:szCs w:val="28"/>
        </w:rPr>
        <w:t xml:space="preserve">  X：個別樣本企業對應財務比率項目</w:t>
      </w:r>
    </w:p>
    <w:p w:rsidR="003C1155" w:rsidRPr="003C1155" w:rsidRDefault="003C1155" w:rsidP="003C1155">
      <w:pPr>
        <w:spacing w:beforeLines="0" w:afterLines="0" w:line="500" w:lineRule="exact"/>
        <w:ind w:left="1440"/>
        <w:rPr>
          <w:rFonts w:ascii="標楷體" w:eastAsia="標楷體" w:hAnsi="標楷體"/>
          <w:sz w:val="28"/>
          <w:szCs w:val="28"/>
        </w:rPr>
      </w:pPr>
      <w:r w:rsidRPr="003C1155">
        <w:rPr>
          <w:rFonts w:ascii="標楷體" w:eastAsia="標楷體" w:hAnsi="標楷體" w:hint="eastAsia"/>
          <w:sz w:val="28"/>
          <w:szCs w:val="28"/>
        </w:rPr>
        <w:t xml:space="preserve">  A：樣本行業對應財務比率項目平均數</w:t>
      </w:r>
    </w:p>
    <w:p w:rsidR="003C1155" w:rsidRPr="003C1155" w:rsidRDefault="003C1155" w:rsidP="003C1155">
      <w:pPr>
        <w:spacing w:beforeLines="0" w:afterLines="0" w:line="500" w:lineRule="exact"/>
        <w:ind w:left="1440"/>
        <w:rPr>
          <w:rFonts w:ascii="標楷體" w:eastAsia="標楷體" w:hAnsi="標楷體"/>
          <w:sz w:val="28"/>
          <w:szCs w:val="28"/>
        </w:rPr>
      </w:pPr>
      <w:r w:rsidRPr="003C1155">
        <w:rPr>
          <w:rFonts w:ascii="標楷體" w:eastAsia="標楷體" w:hAnsi="標楷體" w:hint="eastAsia"/>
          <w:sz w:val="28"/>
          <w:szCs w:val="28"/>
        </w:rPr>
        <w:t xml:space="preserve">  </w:t>
      </w:r>
      <w:r w:rsidRPr="003C1155">
        <w:rPr>
          <w:rFonts w:ascii="標楷體" w:eastAsia="標楷體" w:hAnsi="標楷體"/>
          <w:sz w:val="28"/>
          <w:szCs w:val="28"/>
        </w:rPr>
        <w:t>N</w:t>
      </w:r>
      <w:r w:rsidRPr="003C1155">
        <w:rPr>
          <w:rFonts w:ascii="標楷體" w:eastAsia="標楷體" w:hAnsi="標楷體" w:hint="eastAsia"/>
          <w:sz w:val="28"/>
          <w:szCs w:val="28"/>
        </w:rPr>
        <w:t>：樣本個數</w:t>
      </w:r>
    </w:p>
    <w:p w:rsidR="002860BB" w:rsidRPr="002860BB" w:rsidRDefault="003C1155" w:rsidP="002860BB">
      <w:pPr>
        <w:spacing w:beforeLines="0" w:afterLines="0" w:line="500" w:lineRule="exact"/>
        <w:ind w:left="1440"/>
      </w:pPr>
      <w:r w:rsidRPr="003C1155">
        <w:rPr>
          <w:rFonts w:ascii="標楷體" w:eastAsia="標楷體" w:hAnsi="標楷體" w:hint="eastAsia"/>
          <w:sz w:val="32"/>
          <w:szCs w:val="32"/>
        </w:rPr>
        <w:t>上述A、A+、M統計值，旨在表示樣本行業財務比   率之集中特性或共同性。U、L 及S統計值，則表示樣本財務比率之離散性或差異性。</w:t>
      </w:r>
    </w:p>
    <w:p w:rsidR="00562F9F" w:rsidRDefault="002860BB">
      <w:pPr>
        <w:pStyle w:val="a3"/>
        <w:numPr>
          <w:ilvl w:val="0"/>
          <w:numId w:val="12"/>
        </w:numPr>
        <w:spacing w:before="180" w:after="180"/>
        <w:ind w:leftChars="0"/>
        <w:outlineLvl w:val="1"/>
      </w:pPr>
      <w:bookmarkStart w:id="11" w:name="_Toc429750447"/>
      <w:r>
        <w:rPr>
          <w:rFonts w:ascii="標楷體" w:eastAsia="標楷體" w:hAnsi="標楷體" w:cs="Times New Roman" w:hint="eastAsia"/>
          <w:sz w:val="32"/>
          <w:szCs w:val="32"/>
        </w:rPr>
        <w:t>財務比率應用之限制</w:t>
      </w:r>
      <w:bookmarkEnd w:id="11"/>
    </w:p>
    <w:p w:rsidR="00562F9F" w:rsidRDefault="00E83285">
      <w:pPr>
        <w:spacing w:beforeLines="0" w:afterLines="0" w:line="500" w:lineRule="exact"/>
        <w:ind w:left="1440"/>
        <w:rPr>
          <w:rFonts w:ascii="標楷體" w:eastAsia="標楷體" w:hAnsi="標楷體"/>
          <w:sz w:val="32"/>
          <w:szCs w:val="32"/>
        </w:rPr>
      </w:pPr>
      <w:r w:rsidRPr="00E83285">
        <w:rPr>
          <w:rFonts w:ascii="標楷體" w:eastAsia="標楷體" w:hAnsi="標楷體" w:hint="eastAsia"/>
          <w:sz w:val="32"/>
          <w:szCs w:val="32"/>
        </w:rPr>
        <w:t>由於各行業性質不同，各項財務比率在應用上亦有不同之限制，例如製造業中所包括之各行業而言，採擷之比率大致均可適用；</w:t>
      </w:r>
      <w:proofErr w:type="gramStart"/>
      <w:r w:rsidRPr="00E83285">
        <w:rPr>
          <w:rFonts w:ascii="標楷體" w:eastAsia="標楷體" w:hAnsi="標楷體" w:hint="eastAsia"/>
          <w:sz w:val="32"/>
          <w:szCs w:val="32"/>
        </w:rPr>
        <w:t>惟非製造業</w:t>
      </w:r>
      <w:proofErr w:type="gramEnd"/>
      <w:r w:rsidRPr="00E83285">
        <w:rPr>
          <w:rFonts w:ascii="標楷體" w:eastAsia="標楷體" w:hAnsi="標楷體" w:hint="eastAsia"/>
          <w:sz w:val="32"/>
          <w:szCs w:val="32"/>
        </w:rPr>
        <w:t>中</w:t>
      </w:r>
      <w:r w:rsidR="005F347F">
        <w:rPr>
          <w:rFonts w:ascii="標楷體" w:eastAsia="標楷體" w:hAnsi="標楷體" w:hint="eastAsia"/>
          <w:sz w:val="32"/>
          <w:szCs w:val="32"/>
        </w:rPr>
        <w:t>若干行業，因其性質較為特殊，數項比率之意義較</w:t>
      </w:r>
      <w:r w:rsidR="005F347F">
        <w:rPr>
          <w:rFonts w:ascii="標楷體" w:eastAsia="標楷體" w:hAnsi="標楷體" w:hint="eastAsia"/>
          <w:sz w:val="32"/>
          <w:szCs w:val="32"/>
        </w:rPr>
        <w:lastRenderedPageBreak/>
        <w:t>為模糊，</w:t>
      </w:r>
      <w:r w:rsidRPr="00E83285">
        <w:rPr>
          <w:rFonts w:ascii="標楷體" w:eastAsia="標楷體" w:hAnsi="標楷體" w:hint="eastAsia"/>
          <w:sz w:val="32"/>
          <w:szCs w:val="32"/>
        </w:rPr>
        <w:t>茲列舉說明如下：</w:t>
      </w: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sz w:val="32"/>
          <w:szCs w:val="32"/>
        </w:rPr>
      </w:pPr>
    </w:p>
    <w:p w:rsidR="00562F9F" w:rsidRDefault="00233231">
      <w:pPr>
        <w:pStyle w:val="a3"/>
        <w:numPr>
          <w:ilvl w:val="0"/>
          <w:numId w:val="18"/>
        </w:numPr>
        <w:spacing w:beforeLines="0" w:afterLines="0" w:line="0" w:lineRule="atLeast"/>
        <w:ind w:leftChars="0"/>
        <w:outlineLvl w:val="2"/>
        <w:rPr>
          <w:rFonts w:ascii="標楷體" w:eastAsia="標楷體" w:hAnsi="標楷體"/>
          <w:bCs/>
          <w:color w:val="000000"/>
          <w:sz w:val="32"/>
          <w:szCs w:val="32"/>
        </w:rPr>
      </w:pPr>
      <w:bookmarkStart w:id="12" w:name="_Toc429750448"/>
      <w:r>
        <w:rPr>
          <w:rFonts w:ascii="標楷體" w:eastAsia="標楷體" w:hAnsi="標楷體" w:cs="Times New Roman" w:hint="eastAsia"/>
          <w:sz w:val="32"/>
          <w:szCs w:val="32"/>
        </w:rPr>
        <w:t>ROC GAAP</w:t>
      </w:r>
      <w:r w:rsidR="005F347F">
        <w:rPr>
          <w:rFonts w:ascii="標楷體" w:eastAsia="標楷體" w:hAnsi="標楷體" w:cs="Times New Roman" w:hint="eastAsia"/>
          <w:sz w:val="32"/>
          <w:szCs w:val="32"/>
        </w:rPr>
        <w:t>(一般公認會計原則)編製基礎</w:t>
      </w:r>
      <w:bookmarkEnd w:id="12"/>
    </w:p>
    <w:p w:rsidR="00562F9F" w:rsidRDefault="00E83285">
      <w:pPr>
        <w:pStyle w:val="a3"/>
        <w:numPr>
          <w:ilvl w:val="0"/>
          <w:numId w:val="19"/>
        </w:numPr>
        <w:spacing w:before="180" w:after="180" w:line="400" w:lineRule="exact"/>
        <w:ind w:leftChars="0"/>
        <w:rPr>
          <w:rFonts w:ascii="標楷體" w:eastAsia="標楷體" w:hAnsi="標楷體"/>
          <w:sz w:val="32"/>
          <w:szCs w:val="32"/>
        </w:rPr>
      </w:pPr>
      <w:r w:rsidRPr="00E83285">
        <w:rPr>
          <w:rFonts w:ascii="標楷體" w:eastAsia="標楷體" w:hAnsi="標楷體" w:hint="eastAsia"/>
          <w:sz w:val="32"/>
          <w:szCs w:val="32"/>
        </w:rPr>
        <w:t>對以固定資產等為營收直接來源之行業，如運輸、倉儲、分期付款、融資性租賃等業，未採用與存貨有關之比率。</w:t>
      </w:r>
    </w:p>
    <w:p w:rsidR="00562F9F" w:rsidRDefault="00E83285">
      <w:pPr>
        <w:pStyle w:val="a3"/>
        <w:numPr>
          <w:ilvl w:val="0"/>
          <w:numId w:val="19"/>
        </w:numPr>
        <w:spacing w:before="180" w:after="180" w:line="400" w:lineRule="exact"/>
        <w:ind w:leftChars="0"/>
        <w:rPr>
          <w:rFonts w:ascii="標楷體" w:eastAsia="標楷體" w:hAnsi="標楷體"/>
          <w:sz w:val="32"/>
          <w:szCs w:val="32"/>
        </w:rPr>
      </w:pPr>
      <w:r w:rsidRPr="00E83285">
        <w:rPr>
          <w:rFonts w:ascii="標楷體" w:eastAsia="標楷體" w:hAnsi="標楷體" w:hint="eastAsia"/>
          <w:sz w:val="32"/>
          <w:szCs w:val="32"/>
        </w:rPr>
        <w:t>投資開發、創業投資業係以各種轉投資為主，其存貨週轉率、應收款項週轉率及應付款項週轉率等，不具實質意義，未予採用。</w:t>
      </w:r>
    </w:p>
    <w:p w:rsidR="00562F9F" w:rsidRDefault="005F347F">
      <w:pPr>
        <w:pStyle w:val="a3"/>
        <w:numPr>
          <w:ilvl w:val="0"/>
          <w:numId w:val="19"/>
        </w:numPr>
        <w:spacing w:before="180" w:after="180" w:line="400" w:lineRule="exact"/>
        <w:ind w:leftChars="0"/>
        <w:rPr>
          <w:rFonts w:ascii="標楷體" w:eastAsia="標楷體" w:hAnsi="標楷體"/>
          <w:sz w:val="32"/>
          <w:szCs w:val="32"/>
        </w:rPr>
      </w:pPr>
      <w:r w:rsidRPr="004A0142">
        <w:rPr>
          <w:rFonts w:ascii="標楷體" w:eastAsia="標楷體" w:hAnsi="標楷體" w:hint="eastAsia"/>
          <w:sz w:val="32"/>
          <w:szCs w:val="32"/>
        </w:rPr>
        <w:t>對支出不易歸屬為營業成本或營業費用之行業，如證券、期貨、保險等業，毛利率不具實質意義，不予採用。</w:t>
      </w:r>
    </w:p>
    <w:p w:rsidR="00562F9F" w:rsidRDefault="00562F9F">
      <w:pPr>
        <w:spacing w:beforeLines="0" w:afterLines="0" w:line="500" w:lineRule="exact"/>
        <w:rPr>
          <w:rFonts w:ascii="標楷體" w:eastAsia="標楷體" w:hAnsi="標楷體"/>
          <w:sz w:val="32"/>
          <w:szCs w:val="32"/>
        </w:rPr>
      </w:pPr>
    </w:p>
    <w:p w:rsidR="00562F9F" w:rsidRDefault="0026495E">
      <w:pPr>
        <w:pStyle w:val="a3"/>
        <w:numPr>
          <w:ilvl w:val="0"/>
          <w:numId w:val="18"/>
        </w:numPr>
        <w:spacing w:beforeLines="0" w:afterLines="0" w:line="0" w:lineRule="atLeast"/>
        <w:ind w:leftChars="0"/>
        <w:outlineLvl w:val="2"/>
        <w:rPr>
          <w:rFonts w:ascii="標楷體" w:eastAsia="標楷體" w:hAnsi="標楷體" w:cs="Times New Roman"/>
          <w:sz w:val="32"/>
          <w:szCs w:val="32"/>
        </w:rPr>
      </w:pPr>
      <w:bookmarkStart w:id="13" w:name="_Toc429750449"/>
      <w:r>
        <w:rPr>
          <w:rFonts w:ascii="標楷體" w:eastAsia="標楷體" w:hAnsi="標楷體" w:cs="Times New Roman" w:hint="eastAsia"/>
          <w:sz w:val="32"/>
          <w:szCs w:val="32"/>
        </w:rPr>
        <w:t>IFRSs(</w:t>
      </w:r>
      <w:hyperlink r:id="rId38" w:history="1">
        <w:r w:rsidRPr="001C230F">
          <w:rPr>
            <w:rFonts w:ascii="標楷體" w:eastAsia="標楷體" w:hAnsi="標楷體" w:cs="Times New Roman"/>
            <w:sz w:val="32"/>
            <w:szCs w:val="32"/>
          </w:rPr>
          <w:t>國際財務報導準則</w:t>
        </w:r>
      </w:hyperlink>
      <w:r>
        <w:rPr>
          <w:rFonts w:ascii="標楷體" w:eastAsia="標楷體" w:hAnsi="標楷體" w:cs="Times New Roman" w:hint="eastAsia"/>
          <w:sz w:val="32"/>
          <w:szCs w:val="32"/>
        </w:rPr>
        <w:t>)</w:t>
      </w:r>
      <w:r w:rsidR="005F347F">
        <w:rPr>
          <w:rFonts w:ascii="標楷體" w:eastAsia="標楷體" w:hAnsi="標楷體" w:cs="Times New Roman" w:hint="eastAsia"/>
          <w:sz w:val="32"/>
          <w:szCs w:val="32"/>
        </w:rPr>
        <w:t>編製基礎</w:t>
      </w:r>
      <w:bookmarkEnd w:id="13"/>
    </w:p>
    <w:p w:rsidR="00562F9F" w:rsidRDefault="00E83285">
      <w:pPr>
        <w:pStyle w:val="a3"/>
        <w:numPr>
          <w:ilvl w:val="0"/>
          <w:numId w:val="20"/>
        </w:numPr>
        <w:spacing w:before="180" w:after="180" w:line="400" w:lineRule="exact"/>
        <w:ind w:leftChars="0"/>
        <w:rPr>
          <w:rFonts w:ascii="標楷體" w:eastAsia="標楷體" w:hAnsi="標楷體" w:cs="Times New Roman"/>
          <w:sz w:val="32"/>
          <w:szCs w:val="32"/>
        </w:rPr>
      </w:pPr>
      <w:r w:rsidRPr="00E83285">
        <w:rPr>
          <w:rFonts w:ascii="標楷體" w:eastAsia="標楷體" w:hAnsi="標楷體" w:cs="Times New Roman" w:hint="eastAsia"/>
          <w:sz w:val="32"/>
          <w:szCs w:val="32"/>
        </w:rPr>
        <w:t>對以不動產、廠房及設備為營收直接來源之行業，如運輸、住宿服務業、倉儲、金融及保險等業，存貨有關之比率較不具意義(如存貨週轉率)。</w:t>
      </w:r>
    </w:p>
    <w:p w:rsidR="00562F9F" w:rsidRDefault="00E83285">
      <w:pPr>
        <w:pStyle w:val="a3"/>
        <w:numPr>
          <w:ilvl w:val="0"/>
          <w:numId w:val="20"/>
        </w:numPr>
        <w:spacing w:before="180" w:after="180" w:line="400" w:lineRule="exact"/>
        <w:ind w:leftChars="0"/>
        <w:jc w:val="both"/>
        <w:rPr>
          <w:rFonts w:ascii="標楷體" w:eastAsia="標楷體" w:hAnsi="標楷體" w:cs="Times New Roman"/>
          <w:sz w:val="32"/>
          <w:szCs w:val="32"/>
        </w:rPr>
      </w:pPr>
      <w:r w:rsidRPr="00E83285">
        <w:rPr>
          <w:rFonts w:ascii="標楷體" w:eastAsia="標楷體" w:hAnsi="標楷體" w:cs="Times New Roman" w:hint="eastAsia"/>
          <w:sz w:val="32"/>
          <w:szCs w:val="32"/>
        </w:rPr>
        <w:t>投資開發、創業投資係以各種轉投資為主，其存貨週轉率、應收款項週轉率及應付款項週轉率等，不具實質意義。</w:t>
      </w:r>
    </w:p>
    <w:p w:rsidR="00562F9F" w:rsidRDefault="00E83285">
      <w:pPr>
        <w:pStyle w:val="a3"/>
        <w:numPr>
          <w:ilvl w:val="0"/>
          <w:numId w:val="20"/>
        </w:numPr>
        <w:spacing w:before="180" w:after="180" w:line="400" w:lineRule="exact"/>
        <w:ind w:leftChars="0"/>
        <w:rPr>
          <w:rFonts w:ascii="標楷體" w:eastAsia="標楷體" w:hAnsi="標楷體" w:cs="Times New Roman"/>
          <w:sz w:val="32"/>
          <w:szCs w:val="32"/>
        </w:rPr>
      </w:pPr>
      <w:r w:rsidRPr="00E83285">
        <w:rPr>
          <w:rFonts w:ascii="標楷體" w:eastAsia="標楷體" w:hAnsi="標楷體" w:cs="Times New Roman" w:hint="eastAsia"/>
          <w:sz w:val="32"/>
          <w:szCs w:val="32"/>
        </w:rPr>
        <w:t>對支出不易歸屬為營業成本或營業費用之行業，如證券、期貨業，毛利率不具實質意義。</w:t>
      </w: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sz w:val="32"/>
          <w:szCs w:val="32"/>
        </w:rPr>
      </w:pPr>
    </w:p>
    <w:p w:rsidR="00562F9F" w:rsidRDefault="00562F9F">
      <w:pPr>
        <w:spacing w:beforeLines="0" w:afterLines="0" w:line="500" w:lineRule="exact"/>
        <w:ind w:left="1440"/>
        <w:rPr>
          <w:rFonts w:ascii="標楷體" w:eastAsia="標楷體" w:hAnsi="標楷體" w:hint="eastAsia"/>
          <w:sz w:val="32"/>
          <w:szCs w:val="32"/>
        </w:rPr>
      </w:pPr>
    </w:p>
    <w:p w:rsidR="003E50BA" w:rsidRDefault="003E50BA">
      <w:pPr>
        <w:spacing w:beforeLines="0" w:afterLines="0" w:line="500" w:lineRule="exact"/>
        <w:ind w:left="1440"/>
        <w:rPr>
          <w:rFonts w:ascii="標楷體" w:eastAsia="標楷體" w:hAnsi="標楷體"/>
          <w:sz w:val="32"/>
          <w:szCs w:val="32"/>
        </w:rPr>
      </w:pPr>
    </w:p>
    <w:p w:rsidR="00642A08" w:rsidRDefault="00642A08" w:rsidP="00814C66">
      <w:pPr>
        <w:pStyle w:val="a3"/>
        <w:numPr>
          <w:ilvl w:val="0"/>
          <w:numId w:val="1"/>
        </w:numPr>
        <w:spacing w:beforeLines="0" w:afterLines="0"/>
        <w:ind w:leftChars="0"/>
        <w:outlineLvl w:val="0"/>
        <w:rPr>
          <w:rFonts w:ascii="標楷體" w:eastAsia="標楷體" w:hAnsi="標楷體"/>
          <w:bCs/>
          <w:color w:val="000000"/>
          <w:sz w:val="32"/>
          <w:szCs w:val="32"/>
        </w:rPr>
      </w:pPr>
      <w:bookmarkStart w:id="14" w:name="_Toc429750450"/>
      <w:r>
        <w:rPr>
          <w:rFonts w:ascii="標楷體" w:eastAsia="標楷體" w:hAnsi="標楷體" w:hint="eastAsia"/>
          <w:bCs/>
          <w:color w:val="000000"/>
          <w:sz w:val="32"/>
          <w:szCs w:val="32"/>
        </w:rPr>
        <w:t>產</w:t>
      </w:r>
      <w:r w:rsidRPr="000E3D55">
        <w:rPr>
          <w:rFonts w:ascii="標楷體" w:eastAsia="標楷體" w:hAnsi="標楷體" w:hint="eastAsia"/>
          <w:bCs/>
          <w:color w:val="000000"/>
          <w:sz w:val="32"/>
          <w:szCs w:val="32"/>
        </w:rPr>
        <w:t>業財務結構資訊</w:t>
      </w:r>
      <w:bookmarkEnd w:id="14"/>
    </w:p>
    <w:p w:rsidR="00094814" w:rsidRPr="00094814" w:rsidRDefault="00094814" w:rsidP="00094814">
      <w:pPr>
        <w:pStyle w:val="a3"/>
        <w:spacing w:beforeLines="0" w:afterLines="0" w:line="0" w:lineRule="atLeast"/>
        <w:ind w:leftChars="0" w:left="720"/>
        <w:rPr>
          <w:rFonts w:ascii="標楷體" w:eastAsia="標楷體" w:hAnsi="標楷體" w:cs="Times New Roman"/>
          <w:sz w:val="32"/>
          <w:szCs w:val="32"/>
        </w:rPr>
      </w:pPr>
      <w:r w:rsidRPr="00094814">
        <w:rPr>
          <w:rFonts w:ascii="標楷體" w:eastAsia="標楷體" w:hAnsi="標楷體" w:cs="Times New Roman" w:hint="eastAsia"/>
          <w:sz w:val="32"/>
          <w:szCs w:val="32"/>
        </w:rPr>
        <w:t>提供</w:t>
      </w:r>
      <w:r w:rsidRPr="00207D38">
        <w:rPr>
          <w:rFonts w:ascii="標楷體" w:eastAsia="標楷體" w:hAnsi="標楷體" w:cs="Times New Roman" w:hint="eastAsia"/>
          <w:sz w:val="32"/>
          <w:szCs w:val="32"/>
        </w:rPr>
        <w:t>各</w:t>
      </w:r>
      <w:r w:rsidRPr="00094814">
        <w:rPr>
          <w:rFonts w:ascii="標楷體" w:eastAsia="標楷體" w:hAnsi="標楷體" w:cs="Times New Roman" w:hint="eastAsia"/>
          <w:sz w:val="32"/>
          <w:szCs w:val="32"/>
        </w:rPr>
        <w:t>產</w:t>
      </w:r>
      <w:r w:rsidRPr="00207D38">
        <w:rPr>
          <w:rFonts w:ascii="標楷體" w:eastAsia="標楷體" w:hAnsi="標楷體" w:cs="Times New Roman" w:hint="eastAsia"/>
          <w:sz w:val="32"/>
          <w:szCs w:val="32"/>
        </w:rPr>
        <w:t>業之財務結構（包括資產負債表、損益表、現金流量表</w:t>
      </w:r>
      <w:r w:rsidRPr="00094814">
        <w:rPr>
          <w:rFonts w:ascii="標楷體" w:eastAsia="標楷體" w:hAnsi="標楷體" w:cs="Times New Roman" w:hint="eastAsia"/>
          <w:sz w:val="32"/>
          <w:szCs w:val="32"/>
        </w:rPr>
        <w:t>之會計項</w:t>
      </w:r>
      <w:r w:rsidRPr="00207D38">
        <w:rPr>
          <w:rFonts w:ascii="標楷體" w:eastAsia="標楷體" w:hAnsi="標楷體" w:cs="Times New Roman" w:hint="eastAsia"/>
          <w:sz w:val="32"/>
          <w:szCs w:val="32"/>
        </w:rPr>
        <w:t>目</w:t>
      </w:r>
      <w:r w:rsidRPr="00094814">
        <w:rPr>
          <w:rFonts w:ascii="標楷體" w:eastAsia="標楷體" w:hAnsi="標楷體" w:cs="Times New Roman" w:hint="eastAsia"/>
          <w:sz w:val="32"/>
          <w:szCs w:val="32"/>
        </w:rPr>
        <w:t>平均</w:t>
      </w:r>
      <w:r w:rsidRPr="00207D38">
        <w:rPr>
          <w:rFonts w:ascii="標楷體" w:eastAsia="標楷體" w:hAnsi="標楷體" w:cs="Times New Roman" w:hint="eastAsia"/>
          <w:sz w:val="32"/>
          <w:szCs w:val="32"/>
        </w:rPr>
        <w:t>金額）資訊</w:t>
      </w:r>
      <w:r>
        <w:rPr>
          <w:rFonts w:ascii="標楷體" w:eastAsia="標楷體" w:hAnsi="標楷體" w:cs="Times New Roman" w:hint="eastAsia"/>
          <w:sz w:val="32"/>
          <w:szCs w:val="32"/>
        </w:rPr>
        <w:t>。</w:t>
      </w:r>
    </w:p>
    <w:p w:rsidR="008F18A8" w:rsidRDefault="008F18A8" w:rsidP="00814C66">
      <w:pPr>
        <w:pStyle w:val="a3"/>
        <w:numPr>
          <w:ilvl w:val="0"/>
          <w:numId w:val="4"/>
        </w:numPr>
        <w:spacing w:beforeLines="0" w:afterLines="0"/>
        <w:ind w:leftChars="0"/>
        <w:outlineLvl w:val="1"/>
        <w:rPr>
          <w:rFonts w:ascii="標楷體" w:eastAsia="標楷體" w:hAnsi="標楷體"/>
          <w:bCs/>
          <w:color w:val="000000"/>
          <w:sz w:val="32"/>
          <w:szCs w:val="32"/>
        </w:rPr>
      </w:pPr>
      <w:bookmarkStart w:id="15" w:name="_Toc429750451"/>
      <w:r w:rsidRPr="000E3D55">
        <w:rPr>
          <w:rFonts w:ascii="標楷體" w:eastAsia="標楷體" w:hAnsi="標楷體" w:hint="eastAsia"/>
          <w:bCs/>
          <w:color w:val="000000"/>
          <w:sz w:val="32"/>
          <w:szCs w:val="32"/>
        </w:rPr>
        <w:t>資訊範圍及對象</w:t>
      </w:r>
      <w:bookmarkEnd w:id="15"/>
    </w:p>
    <w:p w:rsidR="008F18A8" w:rsidRDefault="009F57BC" w:rsidP="004A3D01">
      <w:pPr>
        <w:pStyle w:val="a3"/>
        <w:spacing w:beforeLines="0" w:afterLines="0" w:line="500" w:lineRule="exact"/>
        <w:ind w:leftChars="0"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原則</w:t>
      </w:r>
      <w:proofErr w:type="gramStart"/>
      <w:r>
        <w:rPr>
          <w:rFonts w:ascii="標楷體" w:eastAsia="標楷體" w:hAnsi="標楷體" w:hint="eastAsia"/>
          <w:bCs/>
          <w:color w:val="000000"/>
          <w:sz w:val="32"/>
          <w:szCs w:val="32"/>
        </w:rPr>
        <w:t>同壹、</w:t>
      </w:r>
      <w:proofErr w:type="gramEnd"/>
      <w:r w:rsidRPr="00642A08">
        <w:rPr>
          <w:rFonts w:ascii="標楷體" w:eastAsia="標楷體" w:hAnsi="標楷體" w:cs="Times New Roman" w:hint="eastAsia"/>
          <w:sz w:val="32"/>
          <w:szCs w:val="32"/>
        </w:rPr>
        <w:t>產</w:t>
      </w:r>
      <w:r w:rsidRPr="00642A08">
        <w:rPr>
          <w:rFonts w:ascii="標楷體" w:eastAsia="標楷體" w:hAnsi="標楷體" w:hint="eastAsia"/>
          <w:bCs/>
          <w:color w:val="000000"/>
          <w:sz w:val="32"/>
          <w:szCs w:val="32"/>
        </w:rPr>
        <w:t>業財務比率資訊</w:t>
      </w:r>
      <w:r>
        <w:rPr>
          <w:rFonts w:ascii="標楷體" w:eastAsia="標楷體" w:hAnsi="標楷體" w:hint="eastAsia"/>
          <w:bCs/>
          <w:color w:val="000000"/>
          <w:sz w:val="32"/>
          <w:szCs w:val="32"/>
        </w:rPr>
        <w:t>，</w:t>
      </w:r>
      <w:r w:rsidR="000E4198">
        <w:rPr>
          <w:rFonts w:ascii="標楷體" w:eastAsia="標楷體" w:hAnsi="標楷體" w:hint="eastAsia"/>
          <w:bCs/>
          <w:color w:val="000000"/>
          <w:sz w:val="32"/>
          <w:szCs w:val="32"/>
        </w:rPr>
        <w:t>依樣本特性不同分為1.</w:t>
      </w:r>
      <w:r w:rsidR="000E4198" w:rsidRPr="000E4198">
        <w:rPr>
          <w:rFonts w:ascii="標楷體" w:eastAsia="標楷體" w:hAnsi="標楷體" w:hint="eastAsia"/>
          <w:sz w:val="32"/>
          <w:szCs w:val="32"/>
        </w:rPr>
        <w:t xml:space="preserve"> </w:t>
      </w:r>
      <w:r w:rsidR="00233231">
        <w:rPr>
          <w:rFonts w:ascii="標楷體" w:eastAsia="標楷體" w:hAnsi="標楷體" w:hint="eastAsia"/>
          <w:sz w:val="32"/>
          <w:szCs w:val="32"/>
        </w:rPr>
        <w:t>ROC GAAP</w:t>
      </w:r>
      <w:r w:rsidR="000E4198">
        <w:rPr>
          <w:rFonts w:ascii="標楷體" w:eastAsia="標楷體" w:hAnsi="標楷體" w:hint="eastAsia"/>
          <w:sz w:val="32"/>
          <w:szCs w:val="32"/>
        </w:rPr>
        <w:t>及2.IFRSs樣本群，</w:t>
      </w:r>
      <w:r w:rsidR="000348A7">
        <w:rPr>
          <w:rFonts w:ascii="標楷體" w:eastAsia="標楷體" w:hAnsi="標楷體" w:hint="eastAsia"/>
          <w:sz w:val="32"/>
          <w:szCs w:val="32"/>
        </w:rPr>
        <w:t>復</w:t>
      </w:r>
      <w:r w:rsidR="003B59B1">
        <w:rPr>
          <w:rFonts w:ascii="標楷體" w:eastAsia="標楷體" w:hAnsi="標楷體" w:hint="eastAsia"/>
          <w:sz w:val="32"/>
          <w:szCs w:val="32"/>
        </w:rPr>
        <w:t>因IFRSs報表性質另分為合併暨個體/個別財報。</w:t>
      </w:r>
      <w:r w:rsidR="000348A7">
        <w:rPr>
          <w:rFonts w:ascii="標楷體" w:eastAsia="標楷體" w:hAnsi="標楷體" w:hint="eastAsia"/>
          <w:bCs/>
          <w:color w:val="000000"/>
          <w:sz w:val="32"/>
          <w:szCs w:val="32"/>
        </w:rPr>
        <w:t>惟</w:t>
      </w:r>
      <w:r>
        <w:rPr>
          <w:rFonts w:ascii="標楷體" w:eastAsia="標楷體" w:hAnsi="標楷體" w:hint="eastAsia"/>
          <w:bCs/>
          <w:color w:val="000000"/>
          <w:sz w:val="32"/>
          <w:szCs w:val="32"/>
        </w:rPr>
        <w:t>因財務比率資訊產出後本中心仍持續財報建置，故產</w:t>
      </w:r>
      <w:r w:rsidRPr="000E3D55">
        <w:rPr>
          <w:rFonts w:ascii="標楷體" w:eastAsia="標楷體" w:hAnsi="標楷體" w:hint="eastAsia"/>
          <w:bCs/>
          <w:color w:val="000000"/>
          <w:sz w:val="32"/>
          <w:szCs w:val="32"/>
        </w:rPr>
        <w:t>業財務結構資訊</w:t>
      </w:r>
      <w:r>
        <w:rPr>
          <w:rFonts w:ascii="標楷體" w:eastAsia="標楷體" w:hAnsi="標楷體" w:hint="eastAsia"/>
          <w:bCs/>
          <w:color w:val="000000"/>
          <w:sz w:val="32"/>
          <w:szCs w:val="32"/>
        </w:rPr>
        <w:t>之產業樣本數可能較</w:t>
      </w:r>
      <w:r w:rsidRPr="00642A08">
        <w:rPr>
          <w:rFonts w:ascii="標楷體" w:eastAsia="標楷體" w:hAnsi="標楷體" w:cs="Times New Roman" w:hint="eastAsia"/>
          <w:sz w:val="32"/>
          <w:szCs w:val="32"/>
        </w:rPr>
        <w:t>產</w:t>
      </w:r>
      <w:r w:rsidRPr="00642A08">
        <w:rPr>
          <w:rFonts w:ascii="標楷體" w:eastAsia="標楷體" w:hAnsi="標楷體" w:hint="eastAsia"/>
          <w:bCs/>
          <w:color w:val="000000"/>
          <w:sz w:val="32"/>
          <w:szCs w:val="32"/>
        </w:rPr>
        <w:t>業財務比率資訊</w:t>
      </w:r>
      <w:r>
        <w:rPr>
          <w:rFonts w:ascii="標楷體" w:eastAsia="標楷體" w:hAnsi="標楷體" w:hint="eastAsia"/>
          <w:bCs/>
          <w:color w:val="000000"/>
          <w:sz w:val="32"/>
          <w:szCs w:val="32"/>
        </w:rPr>
        <w:t>多。</w:t>
      </w:r>
    </w:p>
    <w:p w:rsidR="008F18A8" w:rsidRPr="009F57BC" w:rsidRDefault="008F18A8" w:rsidP="00814C66">
      <w:pPr>
        <w:pStyle w:val="a3"/>
        <w:numPr>
          <w:ilvl w:val="0"/>
          <w:numId w:val="4"/>
        </w:numPr>
        <w:spacing w:beforeLines="0" w:afterLines="0" w:line="500" w:lineRule="exact"/>
        <w:ind w:leftChars="0"/>
        <w:outlineLvl w:val="1"/>
        <w:rPr>
          <w:rFonts w:ascii="標楷體" w:eastAsia="標楷體" w:hAnsi="標楷體"/>
          <w:bCs/>
          <w:color w:val="000000"/>
          <w:sz w:val="32"/>
          <w:szCs w:val="32"/>
        </w:rPr>
      </w:pPr>
      <w:bookmarkStart w:id="16" w:name="_Toc429750452"/>
      <w:r w:rsidRPr="000E3D55">
        <w:rPr>
          <w:rFonts w:ascii="標楷體" w:eastAsia="標楷體" w:hAnsi="標楷體" w:hint="eastAsia"/>
          <w:sz w:val="32"/>
          <w:szCs w:val="32"/>
        </w:rPr>
        <w:t>資訊週期</w:t>
      </w:r>
      <w:bookmarkEnd w:id="16"/>
    </w:p>
    <w:p w:rsidR="009F57BC" w:rsidRPr="009F57BC" w:rsidRDefault="009F57BC" w:rsidP="009F57BC">
      <w:pPr>
        <w:pStyle w:val="a3"/>
        <w:spacing w:beforeLines="0" w:afterLines="0" w:line="500" w:lineRule="exact"/>
        <w:ind w:leftChars="0" w:left="1440"/>
        <w:rPr>
          <w:rFonts w:ascii="標楷體" w:eastAsia="標楷體" w:hAnsi="標楷體"/>
          <w:bCs/>
          <w:color w:val="000000"/>
          <w:sz w:val="32"/>
          <w:szCs w:val="32"/>
        </w:rPr>
      </w:pPr>
      <w:proofErr w:type="gramStart"/>
      <w:r>
        <w:rPr>
          <w:rFonts w:ascii="標楷體" w:eastAsia="標楷體" w:hAnsi="標楷體" w:hint="eastAsia"/>
          <w:bCs/>
          <w:color w:val="000000"/>
          <w:sz w:val="32"/>
          <w:szCs w:val="32"/>
        </w:rPr>
        <w:t>同壹、</w:t>
      </w:r>
      <w:proofErr w:type="gramEnd"/>
      <w:r w:rsidRPr="00642A08">
        <w:rPr>
          <w:rFonts w:ascii="標楷體" w:eastAsia="標楷體" w:hAnsi="標楷體" w:cs="Times New Roman" w:hint="eastAsia"/>
          <w:sz w:val="32"/>
          <w:szCs w:val="32"/>
        </w:rPr>
        <w:t>產</w:t>
      </w:r>
      <w:r w:rsidRPr="00642A08">
        <w:rPr>
          <w:rFonts w:ascii="標楷體" w:eastAsia="標楷體" w:hAnsi="標楷體" w:hint="eastAsia"/>
          <w:bCs/>
          <w:color w:val="000000"/>
          <w:sz w:val="32"/>
          <w:szCs w:val="32"/>
        </w:rPr>
        <w:t>業財務比率資訊</w:t>
      </w:r>
      <w:r>
        <w:rPr>
          <w:rFonts w:ascii="標楷體" w:eastAsia="標楷體" w:hAnsi="標楷體" w:hint="eastAsia"/>
          <w:bCs/>
          <w:color w:val="000000"/>
          <w:sz w:val="32"/>
          <w:szCs w:val="32"/>
        </w:rPr>
        <w:t>。</w:t>
      </w:r>
    </w:p>
    <w:p w:rsidR="009F57BC" w:rsidRPr="006654E8" w:rsidRDefault="009F57BC" w:rsidP="00814C66">
      <w:pPr>
        <w:pStyle w:val="a3"/>
        <w:numPr>
          <w:ilvl w:val="0"/>
          <w:numId w:val="4"/>
        </w:numPr>
        <w:spacing w:beforeLines="0" w:afterLines="0" w:line="500" w:lineRule="exact"/>
        <w:ind w:leftChars="0"/>
        <w:outlineLvl w:val="1"/>
        <w:rPr>
          <w:rFonts w:ascii="標楷體" w:eastAsia="標楷體" w:hAnsi="標楷體"/>
          <w:bCs/>
          <w:color w:val="000000"/>
          <w:sz w:val="32"/>
          <w:szCs w:val="32"/>
        </w:rPr>
      </w:pPr>
      <w:bookmarkStart w:id="17" w:name="_Toc429750453"/>
      <w:r w:rsidRPr="000E3D55">
        <w:rPr>
          <w:rFonts w:ascii="標楷體" w:eastAsia="標楷體" w:hAnsi="標楷體" w:hint="eastAsia"/>
          <w:sz w:val="32"/>
          <w:szCs w:val="32"/>
        </w:rPr>
        <w:t>統計項目定義</w:t>
      </w:r>
      <w:bookmarkEnd w:id="17"/>
    </w:p>
    <w:p w:rsidR="009F57BC" w:rsidRDefault="009F57BC" w:rsidP="00205272">
      <w:pPr>
        <w:pStyle w:val="a3"/>
        <w:numPr>
          <w:ilvl w:val="0"/>
          <w:numId w:val="5"/>
        </w:numPr>
        <w:spacing w:beforeLines="0" w:afterLines="0" w:line="500" w:lineRule="exact"/>
        <w:ind w:leftChars="0"/>
        <w:jc w:val="both"/>
        <w:rPr>
          <w:rFonts w:ascii="標楷體" w:eastAsia="標楷體" w:hAnsi="標楷體"/>
          <w:sz w:val="32"/>
          <w:szCs w:val="32"/>
        </w:rPr>
      </w:pPr>
      <w:r w:rsidRPr="00883300">
        <w:rPr>
          <w:rFonts w:ascii="標楷體" w:eastAsia="標楷體" w:hAnsi="標楷體" w:hint="eastAsia"/>
          <w:sz w:val="32"/>
          <w:szCs w:val="32"/>
        </w:rPr>
        <w:t>產業分類：</w:t>
      </w:r>
    </w:p>
    <w:p w:rsidR="009F57BC" w:rsidRPr="00205272" w:rsidRDefault="009F57BC" w:rsidP="00205272">
      <w:pPr>
        <w:spacing w:beforeLines="0" w:afterLines="0" w:line="500" w:lineRule="exact"/>
        <w:ind w:left="1440"/>
        <w:jc w:val="both"/>
        <w:rPr>
          <w:rFonts w:ascii="標楷體" w:eastAsia="標楷體" w:hAnsi="標楷體"/>
          <w:sz w:val="32"/>
          <w:szCs w:val="32"/>
        </w:rPr>
      </w:pPr>
      <w:proofErr w:type="gramStart"/>
      <w:r w:rsidRPr="00205272">
        <w:rPr>
          <w:rFonts w:ascii="標楷體" w:eastAsia="標楷體" w:hAnsi="標楷體" w:hint="eastAsia"/>
          <w:sz w:val="32"/>
          <w:szCs w:val="32"/>
        </w:rPr>
        <w:t>同</w:t>
      </w:r>
      <w:r w:rsidR="00205272" w:rsidRPr="00205272">
        <w:rPr>
          <w:rFonts w:ascii="標楷體" w:eastAsia="標楷體" w:hAnsi="標楷體" w:hint="eastAsia"/>
          <w:bCs/>
          <w:color w:val="000000"/>
          <w:sz w:val="32"/>
          <w:szCs w:val="32"/>
        </w:rPr>
        <w:t>壹、</w:t>
      </w:r>
      <w:proofErr w:type="gramEnd"/>
      <w:r w:rsidR="00205272" w:rsidRPr="00205272">
        <w:rPr>
          <w:rFonts w:ascii="標楷體" w:eastAsia="標楷體" w:hAnsi="標楷體" w:cs="Times New Roman" w:hint="eastAsia"/>
          <w:sz w:val="32"/>
          <w:szCs w:val="32"/>
        </w:rPr>
        <w:t>產</w:t>
      </w:r>
      <w:r w:rsidR="00205272" w:rsidRPr="00205272">
        <w:rPr>
          <w:rFonts w:ascii="標楷體" w:eastAsia="標楷體" w:hAnsi="標楷體" w:hint="eastAsia"/>
          <w:bCs/>
          <w:color w:val="000000"/>
          <w:sz w:val="32"/>
          <w:szCs w:val="32"/>
        </w:rPr>
        <w:t>業財務比率資訊</w:t>
      </w:r>
    </w:p>
    <w:p w:rsidR="009F57BC" w:rsidRDefault="00205272" w:rsidP="00205272">
      <w:pPr>
        <w:pStyle w:val="a3"/>
        <w:numPr>
          <w:ilvl w:val="0"/>
          <w:numId w:val="5"/>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sz w:val="32"/>
          <w:szCs w:val="32"/>
        </w:rPr>
        <w:t>會計項目：</w:t>
      </w:r>
    </w:p>
    <w:p w:rsidR="00205272" w:rsidRDefault="00205272" w:rsidP="00205272">
      <w:pPr>
        <w:spacing w:beforeLines="0" w:afterLines="0" w:line="500" w:lineRule="exact"/>
        <w:ind w:left="1440"/>
        <w:jc w:val="both"/>
        <w:rPr>
          <w:rFonts w:ascii="標楷體" w:eastAsia="標楷體" w:hAnsi="標楷體"/>
          <w:sz w:val="32"/>
          <w:szCs w:val="32"/>
        </w:rPr>
      </w:pPr>
      <w:r w:rsidRPr="00205272">
        <w:rPr>
          <w:rFonts w:ascii="標楷體" w:eastAsia="標楷體" w:hAnsi="標楷體" w:hint="eastAsia"/>
          <w:sz w:val="32"/>
          <w:szCs w:val="32"/>
        </w:rPr>
        <w:t>企業編製之財務報表，會計項目</w:t>
      </w:r>
      <w:r w:rsidR="008D410F">
        <w:rPr>
          <w:rStyle w:val="a7"/>
          <w:rFonts w:ascii="標楷體" w:eastAsia="標楷體" w:hAnsi="標楷體"/>
          <w:sz w:val="32"/>
          <w:szCs w:val="32"/>
        </w:rPr>
        <w:footnoteReference w:id="3"/>
      </w:r>
      <w:r w:rsidR="00FE4CB6">
        <w:rPr>
          <w:rStyle w:val="a7"/>
          <w:rFonts w:ascii="標楷體" w:eastAsia="標楷體" w:hAnsi="標楷體"/>
          <w:sz w:val="32"/>
          <w:szCs w:val="32"/>
        </w:rPr>
        <w:footnoteReference w:id="4"/>
      </w:r>
      <w:r w:rsidRPr="00205272">
        <w:rPr>
          <w:rFonts w:ascii="標楷體" w:eastAsia="標楷體" w:hAnsi="標楷體" w:hint="eastAsia"/>
          <w:sz w:val="32"/>
          <w:szCs w:val="32"/>
        </w:rPr>
        <w:t>歸屬方式不一，內容亦未盡相同，為期趨於一致，本中心依</w:t>
      </w:r>
      <w:r w:rsidR="0026495E">
        <w:rPr>
          <w:rFonts w:ascii="標楷體" w:eastAsia="標楷體" w:hAnsi="標楷體" w:hint="eastAsia"/>
          <w:sz w:val="32"/>
          <w:szCs w:val="32"/>
        </w:rPr>
        <w:t>1.</w:t>
      </w:r>
      <w:r w:rsidRPr="00205272">
        <w:rPr>
          <w:rFonts w:ascii="標楷體" w:eastAsia="標楷體" w:hAnsi="標楷體" w:hint="eastAsia"/>
          <w:sz w:val="32"/>
          <w:szCs w:val="32"/>
        </w:rPr>
        <w:t>一般公認會計原則及</w:t>
      </w:r>
      <w:r w:rsidR="0026495E">
        <w:rPr>
          <w:rFonts w:ascii="標楷體" w:eastAsia="標楷體" w:hAnsi="標楷體" w:hint="eastAsia"/>
          <w:sz w:val="32"/>
          <w:szCs w:val="32"/>
        </w:rPr>
        <w:t>2.</w:t>
      </w:r>
      <w:hyperlink r:id="rId39" w:history="1">
        <w:r w:rsidR="0026495E" w:rsidRPr="0026495E">
          <w:rPr>
            <w:rFonts w:ascii="標楷體" w:eastAsia="標楷體" w:hAnsi="標楷體"/>
            <w:sz w:val="32"/>
            <w:szCs w:val="32"/>
          </w:rPr>
          <w:t>國際財務報導準則</w:t>
        </w:r>
      </w:hyperlink>
      <w:r w:rsidR="0026495E">
        <w:rPr>
          <w:rFonts w:ascii="標楷體" w:eastAsia="標楷體" w:hAnsi="標楷體" w:hint="eastAsia"/>
          <w:sz w:val="32"/>
          <w:szCs w:val="32"/>
        </w:rPr>
        <w:t>，</w:t>
      </w:r>
      <w:r w:rsidRPr="00205272">
        <w:rPr>
          <w:rFonts w:ascii="標楷體" w:eastAsia="標楷體" w:hAnsi="標楷體" w:hint="eastAsia"/>
          <w:sz w:val="32"/>
          <w:szCs w:val="32"/>
        </w:rPr>
        <w:t>並參酌本中心歷年蒐集、維護會計報表經驗調整。</w:t>
      </w:r>
      <w:proofErr w:type="gramStart"/>
      <w:r w:rsidR="000348A7">
        <w:rPr>
          <w:rFonts w:ascii="標楷體" w:eastAsia="標楷體" w:hAnsi="標楷體" w:hint="eastAsia"/>
          <w:sz w:val="32"/>
          <w:szCs w:val="32"/>
        </w:rPr>
        <w:t>惟</w:t>
      </w:r>
      <w:proofErr w:type="gramEnd"/>
      <w:r w:rsidR="000348A7">
        <w:rPr>
          <w:rFonts w:ascii="標楷體" w:eastAsia="標楷體" w:hAnsi="標楷體" w:hint="eastAsia"/>
          <w:sz w:val="32"/>
          <w:szCs w:val="32"/>
        </w:rPr>
        <w:t>，</w:t>
      </w:r>
      <w:r w:rsidR="000348A7">
        <w:rPr>
          <w:rFonts w:ascii="標楷體" w:eastAsia="標楷體" w:hAnsi="標楷體" w:hint="eastAsia"/>
          <w:sz w:val="32"/>
          <w:szCs w:val="32"/>
        </w:rPr>
        <w:lastRenderedPageBreak/>
        <w:t>證券期貨</w:t>
      </w:r>
      <w:r w:rsidR="0066409B">
        <w:rPr>
          <w:rFonts w:ascii="標楷體" w:eastAsia="標楷體" w:hAnsi="標楷體" w:hint="eastAsia"/>
          <w:sz w:val="32"/>
          <w:szCs w:val="32"/>
        </w:rPr>
        <w:t>(K66)</w:t>
      </w:r>
      <w:r w:rsidR="000348A7">
        <w:rPr>
          <w:rFonts w:ascii="標楷體" w:eastAsia="標楷體" w:hAnsi="標楷體" w:hint="eastAsia"/>
          <w:sz w:val="32"/>
          <w:szCs w:val="32"/>
        </w:rPr>
        <w:t>之會計項目與一般行業不同，復將證券期貨之財務結構</w:t>
      </w:r>
      <w:proofErr w:type="gramStart"/>
      <w:r w:rsidR="000348A7">
        <w:rPr>
          <w:rFonts w:ascii="標楷體" w:eastAsia="標楷體" w:hAnsi="標楷體" w:hint="eastAsia"/>
          <w:sz w:val="32"/>
          <w:szCs w:val="32"/>
        </w:rPr>
        <w:t>獨立列</w:t>
      </w:r>
      <w:proofErr w:type="gramEnd"/>
      <w:r w:rsidR="000348A7">
        <w:rPr>
          <w:rFonts w:ascii="標楷體" w:eastAsia="標楷體" w:hAnsi="標楷體" w:hint="eastAsia"/>
          <w:sz w:val="32"/>
          <w:szCs w:val="32"/>
        </w:rPr>
        <w:t>示。</w:t>
      </w:r>
    </w:p>
    <w:p w:rsidR="00205272" w:rsidRDefault="00205272" w:rsidP="00205272">
      <w:pPr>
        <w:spacing w:beforeLines="0" w:afterLines="0" w:line="500" w:lineRule="exact"/>
        <w:ind w:left="1440"/>
        <w:jc w:val="both"/>
        <w:rPr>
          <w:rFonts w:ascii="標楷體" w:eastAsia="標楷體" w:hAnsi="標楷體"/>
          <w:sz w:val="32"/>
          <w:szCs w:val="32"/>
        </w:rPr>
      </w:pPr>
      <w:r>
        <w:rPr>
          <w:rFonts w:ascii="標楷體" w:eastAsia="標楷體" w:hAnsi="標楷體" w:hint="eastAsia"/>
          <w:sz w:val="32"/>
          <w:szCs w:val="32"/>
        </w:rPr>
        <w:t>本項資訊揭露各會計項目之平均金額。</w:t>
      </w:r>
    </w:p>
    <w:p w:rsidR="00205272" w:rsidRDefault="00205272" w:rsidP="009F57BC">
      <w:pPr>
        <w:pStyle w:val="a3"/>
        <w:numPr>
          <w:ilvl w:val="0"/>
          <w:numId w:val="5"/>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bCs/>
          <w:color w:val="000000"/>
          <w:sz w:val="32"/>
          <w:szCs w:val="32"/>
        </w:rPr>
        <w:t>統計單位</w:t>
      </w:r>
      <w:r w:rsidRPr="000E3D55">
        <w:rPr>
          <w:rFonts w:ascii="標楷體" w:eastAsia="標楷體" w:hAnsi="標楷體" w:hint="eastAsia"/>
          <w:sz w:val="32"/>
          <w:szCs w:val="32"/>
        </w:rPr>
        <w:t>：</w:t>
      </w:r>
    </w:p>
    <w:p w:rsidR="00205272" w:rsidRDefault="00205272" w:rsidP="0089598E">
      <w:pPr>
        <w:spacing w:beforeLines="0" w:afterLines="0" w:line="500" w:lineRule="exact"/>
        <w:ind w:left="1440"/>
        <w:jc w:val="both"/>
        <w:rPr>
          <w:rFonts w:ascii="標楷體" w:eastAsia="標楷體" w:hAnsi="標楷體"/>
          <w:sz w:val="32"/>
          <w:szCs w:val="32"/>
        </w:rPr>
      </w:pPr>
      <w:r w:rsidRPr="00205272">
        <w:rPr>
          <w:rFonts w:ascii="標楷體" w:eastAsia="標楷體" w:hAnsi="標楷體" w:hint="eastAsia"/>
          <w:sz w:val="32"/>
          <w:szCs w:val="32"/>
        </w:rPr>
        <w:t>新臺幣</w:t>
      </w:r>
      <w:r w:rsidR="0089598E">
        <w:rPr>
          <w:rFonts w:ascii="標楷體" w:eastAsia="標楷體" w:hAnsi="標楷體" w:hint="eastAsia"/>
          <w:sz w:val="32"/>
          <w:szCs w:val="32"/>
        </w:rPr>
        <w:t>千</w:t>
      </w:r>
      <w:r w:rsidRPr="00205272">
        <w:rPr>
          <w:rFonts w:ascii="標楷體" w:eastAsia="標楷體" w:hAnsi="標楷體" w:hint="eastAsia"/>
          <w:sz w:val="32"/>
          <w:szCs w:val="32"/>
        </w:rPr>
        <w:t>元</w:t>
      </w:r>
      <w:r w:rsidRPr="000E3D55">
        <w:rPr>
          <w:rFonts w:ascii="標楷體" w:eastAsia="標楷體" w:hAnsi="標楷體" w:hint="eastAsia"/>
          <w:sz w:val="32"/>
          <w:szCs w:val="32"/>
        </w:rPr>
        <w:t>。</w:t>
      </w:r>
    </w:p>
    <w:p w:rsidR="00642A08" w:rsidRDefault="00642A08" w:rsidP="00814C66">
      <w:pPr>
        <w:pStyle w:val="a3"/>
        <w:numPr>
          <w:ilvl w:val="0"/>
          <w:numId w:val="1"/>
        </w:numPr>
        <w:spacing w:beforeLines="0" w:afterLines="0"/>
        <w:ind w:leftChars="0"/>
        <w:outlineLvl w:val="0"/>
        <w:rPr>
          <w:rFonts w:ascii="標楷體" w:eastAsia="標楷體" w:hAnsi="標楷體"/>
          <w:bCs/>
          <w:color w:val="000000"/>
          <w:sz w:val="32"/>
          <w:szCs w:val="32"/>
        </w:rPr>
      </w:pPr>
      <w:bookmarkStart w:id="18" w:name="_Toc429750454"/>
      <w:r>
        <w:rPr>
          <w:rFonts w:ascii="標楷體" w:eastAsia="標楷體" w:hAnsi="標楷體" w:hint="eastAsia"/>
          <w:bCs/>
          <w:color w:val="000000"/>
          <w:sz w:val="32"/>
          <w:szCs w:val="32"/>
        </w:rPr>
        <w:t>產</w:t>
      </w:r>
      <w:r w:rsidRPr="000E3D55">
        <w:rPr>
          <w:rFonts w:ascii="標楷體" w:eastAsia="標楷體" w:hAnsi="標楷體" w:hint="eastAsia"/>
          <w:bCs/>
          <w:color w:val="000000"/>
          <w:sz w:val="32"/>
          <w:szCs w:val="32"/>
        </w:rPr>
        <w:t>業</w:t>
      </w:r>
      <w:proofErr w:type="gramStart"/>
      <w:r w:rsidRPr="000E3D55">
        <w:rPr>
          <w:rFonts w:ascii="標楷體" w:eastAsia="標楷體" w:hAnsi="標楷體" w:hint="eastAsia"/>
          <w:bCs/>
          <w:color w:val="000000"/>
          <w:sz w:val="32"/>
          <w:szCs w:val="32"/>
        </w:rPr>
        <w:t>授信彙總</w:t>
      </w:r>
      <w:proofErr w:type="gramEnd"/>
      <w:r w:rsidRPr="000E3D55">
        <w:rPr>
          <w:rFonts w:ascii="標楷體" w:eastAsia="標楷體" w:hAnsi="標楷體" w:hint="eastAsia"/>
          <w:bCs/>
          <w:color w:val="000000"/>
          <w:sz w:val="32"/>
          <w:szCs w:val="32"/>
        </w:rPr>
        <w:t>資訊</w:t>
      </w:r>
      <w:bookmarkEnd w:id="18"/>
    </w:p>
    <w:p w:rsidR="00094814" w:rsidRPr="00094814" w:rsidRDefault="00094814" w:rsidP="00094814">
      <w:pPr>
        <w:pStyle w:val="a3"/>
        <w:spacing w:beforeLines="0" w:afterLines="0" w:line="0" w:lineRule="atLeast"/>
        <w:ind w:leftChars="0" w:left="720"/>
        <w:rPr>
          <w:rFonts w:ascii="標楷體" w:eastAsia="標楷體" w:hAnsi="標楷體" w:cs="Times New Roman"/>
          <w:sz w:val="32"/>
          <w:szCs w:val="32"/>
        </w:rPr>
      </w:pPr>
      <w:r w:rsidRPr="00094814">
        <w:rPr>
          <w:rFonts w:ascii="標楷體" w:eastAsia="標楷體" w:hAnsi="標楷體" w:cs="Times New Roman" w:hint="eastAsia"/>
          <w:sz w:val="32"/>
          <w:szCs w:val="32"/>
        </w:rPr>
        <w:t>揭露產業</w:t>
      </w:r>
      <w:r>
        <w:rPr>
          <w:rFonts w:ascii="標楷體" w:eastAsia="標楷體" w:hAnsi="標楷體" w:cs="Times New Roman" w:hint="eastAsia"/>
          <w:sz w:val="32"/>
          <w:szCs w:val="32"/>
        </w:rPr>
        <w:t>別</w:t>
      </w:r>
      <w:r w:rsidRPr="00094814">
        <w:rPr>
          <w:rFonts w:ascii="標楷體" w:eastAsia="標楷體" w:hAnsi="標楷體" w:cs="Times New Roman" w:hint="eastAsia"/>
          <w:sz w:val="32"/>
          <w:szCs w:val="32"/>
        </w:rPr>
        <w:t>與金融機構之授信往來</w:t>
      </w:r>
      <w:r>
        <w:rPr>
          <w:rFonts w:ascii="標楷體" w:eastAsia="標楷體" w:hAnsi="標楷體" w:cs="Times New Roman" w:hint="eastAsia"/>
          <w:sz w:val="32"/>
          <w:szCs w:val="32"/>
        </w:rPr>
        <w:t>變化</w:t>
      </w:r>
      <w:r w:rsidRPr="00094814">
        <w:rPr>
          <w:rFonts w:ascii="標楷體" w:eastAsia="標楷體" w:hAnsi="標楷體" w:cs="Times New Roman" w:hint="eastAsia"/>
          <w:sz w:val="32"/>
          <w:szCs w:val="32"/>
        </w:rPr>
        <w:t>，瞭解</w:t>
      </w:r>
      <w:r>
        <w:rPr>
          <w:rFonts w:ascii="標楷體" w:eastAsia="標楷體" w:hAnsi="標楷體" w:cs="Times New Roman" w:hint="eastAsia"/>
          <w:sz w:val="32"/>
          <w:szCs w:val="32"/>
        </w:rPr>
        <w:t>產業資金運用特性及各產業資本投資之</w:t>
      </w:r>
      <w:r w:rsidRPr="00094814">
        <w:rPr>
          <w:rFonts w:ascii="標楷體" w:eastAsia="標楷體" w:hAnsi="標楷體" w:cs="Times New Roman" w:hint="eastAsia"/>
          <w:sz w:val="32"/>
          <w:szCs w:val="32"/>
        </w:rPr>
        <w:t>變動趨勢。</w:t>
      </w:r>
    </w:p>
    <w:p w:rsidR="00BA4A2D" w:rsidRDefault="00BA4A2D" w:rsidP="00814C66">
      <w:pPr>
        <w:pStyle w:val="a3"/>
        <w:numPr>
          <w:ilvl w:val="0"/>
          <w:numId w:val="6"/>
        </w:numPr>
        <w:spacing w:beforeLines="0" w:afterLines="0"/>
        <w:ind w:leftChars="0"/>
        <w:outlineLvl w:val="1"/>
        <w:rPr>
          <w:rFonts w:ascii="標楷體" w:eastAsia="標楷體" w:hAnsi="標楷體"/>
          <w:bCs/>
          <w:color w:val="000000"/>
          <w:sz w:val="32"/>
          <w:szCs w:val="32"/>
        </w:rPr>
      </w:pPr>
      <w:bookmarkStart w:id="19" w:name="_Toc429750455"/>
      <w:r w:rsidRPr="000E3D55">
        <w:rPr>
          <w:rFonts w:ascii="標楷體" w:eastAsia="標楷體" w:hAnsi="標楷體" w:hint="eastAsia"/>
          <w:bCs/>
          <w:color w:val="000000"/>
          <w:sz w:val="32"/>
          <w:szCs w:val="32"/>
        </w:rPr>
        <w:t>資訊範圍及對象</w:t>
      </w:r>
      <w:bookmarkEnd w:id="19"/>
    </w:p>
    <w:p w:rsidR="00BA4A2D" w:rsidRDefault="00BA4A2D" w:rsidP="00BA4A2D">
      <w:pPr>
        <w:pStyle w:val="a3"/>
        <w:spacing w:beforeLines="0" w:afterLines="0" w:line="500" w:lineRule="exact"/>
        <w:ind w:leftChars="0" w:left="1440"/>
        <w:rPr>
          <w:rFonts w:ascii="標楷體" w:eastAsia="標楷體" w:hAnsi="標楷體"/>
          <w:bCs/>
          <w:color w:val="000000"/>
          <w:sz w:val="32"/>
          <w:szCs w:val="32"/>
        </w:rPr>
      </w:pPr>
      <w:r w:rsidRPr="000E3D55">
        <w:rPr>
          <w:rFonts w:ascii="標楷體" w:eastAsia="標楷體" w:hAnsi="標楷體" w:cs="細明體" w:hint="eastAsia"/>
          <w:sz w:val="32"/>
          <w:szCs w:val="32"/>
        </w:rPr>
        <w:t>企業於全國各金融機構（包括所有本國銀行、外國銀行在台分行、票</w:t>
      </w:r>
      <w:proofErr w:type="gramStart"/>
      <w:r w:rsidRPr="000E3D55">
        <w:rPr>
          <w:rFonts w:ascii="標楷體" w:eastAsia="標楷體" w:hAnsi="標楷體" w:cs="細明體" w:hint="eastAsia"/>
          <w:sz w:val="32"/>
          <w:szCs w:val="32"/>
        </w:rPr>
        <w:t>券</w:t>
      </w:r>
      <w:proofErr w:type="gramEnd"/>
      <w:r w:rsidRPr="000E3D55">
        <w:rPr>
          <w:rFonts w:ascii="標楷體" w:eastAsia="標楷體" w:hAnsi="標楷體" w:cs="細明體" w:hint="eastAsia"/>
          <w:sz w:val="32"/>
          <w:szCs w:val="32"/>
        </w:rPr>
        <w:t>金融公司、信用合作社、證券金融公司、及為</w:t>
      </w:r>
      <w:r>
        <w:rPr>
          <w:rFonts w:ascii="標楷體" w:eastAsia="標楷體" w:hAnsi="標楷體" w:cs="細明體" w:hint="eastAsia"/>
          <w:sz w:val="32"/>
          <w:szCs w:val="32"/>
        </w:rPr>
        <w:t>聯徵</w:t>
      </w:r>
      <w:r w:rsidRPr="000E3D55">
        <w:rPr>
          <w:rFonts w:ascii="標楷體" w:eastAsia="標楷體" w:hAnsi="標楷體" w:cs="細明體" w:hint="eastAsia"/>
          <w:sz w:val="32"/>
          <w:szCs w:val="32"/>
        </w:rPr>
        <w:t>中心會員之保險公司、農漁會信用部）報送之授信餘額</w:t>
      </w:r>
      <w:r>
        <w:rPr>
          <w:rFonts w:ascii="標楷體" w:eastAsia="標楷體" w:hAnsi="標楷體" w:cs="細明體" w:hint="eastAsia"/>
          <w:sz w:val="32"/>
          <w:szCs w:val="32"/>
        </w:rPr>
        <w:t>資料</w:t>
      </w:r>
      <w:r w:rsidRPr="000E3D55">
        <w:rPr>
          <w:rFonts w:ascii="標楷體" w:eastAsia="標楷體" w:hAnsi="標楷體" w:hint="eastAsia"/>
          <w:sz w:val="32"/>
          <w:szCs w:val="32"/>
        </w:rPr>
        <w:t>。</w:t>
      </w:r>
    </w:p>
    <w:p w:rsidR="00BA4A2D" w:rsidRPr="009F57BC" w:rsidRDefault="00BA4A2D" w:rsidP="00814C66">
      <w:pPr>
        <w:pStyle w:val="a3"/>
        <w:numPr>
          <w:ilvl w:val="0"/>
          <w:numId w:val="6"/>
        </w:numPr>
        <w:spacing w:beforeLines="0" w:afterLines="0" w:line="500" w:lineRule="exact"/>
        <w:ind w:leftChars="0"/>
        <w:outlineLvl w:val="1"/>
        <w:rPr>
          <w:rFonts w:ascii="標楷體" w:eastAsia="標楷體" w:hAnsi="標楷體"/>
          <w:bCs/>
          <w:color w:val="000000"/>
          <w:sz w:val="32"/>
          <w:szCs w:val="32"/>
        </w:rPr>
      </w:pPr>
      <w:bookmarkStart w:id="20" w:name="_Toc429750456"/>
      <w:r w:rsidRPr="000E3D55">
        <w:rPr>
          <w:rFonts w:ascii="標楷體" w:eastAsia="標楷體" w:hAnsi="標楷體" w:hint="eastAsia"/>
          <w:sz w:val="32"/>
          <w:szCs w:val="32"/>
        </w:rPr>
        <w:t>資訊週期</w:t>
      </w:r>
      <w:bookmarkEnd w:id="20"/>
    </w:p>
    <w:p w:rsidR="00BA4A2D" w:rsidRPr="009F57BC" w:rsidRDefault="00BA4A2D" w:rsidP="00BA4A2D">
      <w:pPr>
        <w:pStyle w:val="a3"/>
        <w:spacing w:beforeLines="0" w:afterLines="0" w:line="500" w:lineRule="exact"/>
        <w:ind w:leftChars="0" w:left="1440"/>
        <w:rPr>
          <w:rFonts w:ascii="標楷體" w:eastAsia="標楷體" w:hAnsi="標楷體"/>
          <w:bCs/>
          <w:color w:val="000000"/>
          <w:sz w:val="32"/>
          <w:szCs w:val="32"/>
        </w:rPr>
      </w:pPr>
      <w:r>
        <w:rPr>
          <w:rFonts w:ascii="標楷體" w:eastAsia="標楷體" w:hAnsi="標楷體" w:hint="eastAsia"/>
          <w:sz w:val="32"/>
          <w:szCs w:val="32"/>
        </w:rPr>
        <w:t>自104年起每年提供</w:t>
      </w:r>
      <w:r w:rsidRPr="000E3D55">
        <w:rPr>
          <w:rFonts w:ascii="標楷體" w:eastAsia="標楷體" w:hAnsi="標楷體" w:hint="eastAsia"/>
          <w:sz w:val="32"/>
          <w:szCs w:val="32"/>
        </w:rPr>
        <w:t>，始自91年度。</w:t>
      </w:r>
    </w:p>
    <w:p w:rsidR="00BA4A2D" w:rsidRPr="006654E8" w:rsidRDefault="00BA4A2D" w:rsidP="00814C66">
      <w:pPr>
        <w:pStyle w:val="a3"/>
        <w:numPr>
          <w:ilvl w:val="0"/>
          <w:numId w:val="6"/>
        </w:numPr>
        <w:spacing w:beforeLines="0" w:afterLines="0" w:line="500" w:lineRule="exact"/>
        <w:ind w:leftChars="0"/>
        <w:outlineLvl w:val="1"/>
        <w:rPr>
          <w:rFonts w:ascii="標楷體" w:eastAsia="標楷體" w:hAnsi="標楷體"/>
          <w:bCs/>
          <w:color w:val="000000"/>
          <w:sz w:val="32"/>
          <w:szCs w:val="32"/>
        </w:rPr>
      </w:pPr>
      <w:bookmarkStart w:id="21" w:name="_Toc429750457"/>
      <w:r w:rsidRPr="000E3D55">
        <w:rPr>
          <w:rFonts w:ascii="標楷體" w:eastAsia="標楷體" w:hAnsi="標楷體" w:hint="eastAsia"/>
          <w:sz w:val="32"/>
          <w:szCs w:val="32"/>
        </w:rPr>
        <w:t>統計項目定義</w:t>
      </w:r>
      <w:bookmarkEnd w:id="21"/>
    </w:p>
    <w:p w:rsidR="00716A12" w:rsidRDefault="00716A12" w:rsidP="00716A12">
      <w:pPr>
        <w:pStyle w:val="a3"/>
        <w:numPr>
          <w:ilvl w:val="0"/>
          <w:numId w:val="8"/>
        </w:numPr>
        <w:spacing w:beforeLines="0" w:afterLines="0" w:line="500" w:lineRule="exact"/>
        <w:ind w:leftChars="0"/>
        <w:jc w:val="both"/>
        <w:rPr>
          <w:rFonts w:ascii="標楷體" w:eastAsia="標楷體" w:hAnsi="標楷體"/>
          <w:sz w:val="32"/>
          <w:szCs w:val="32"/>
        </w:rPr>
      </w:pPr>
      <w:r w:rsidRPr="00883300">
        <w:rPr>
          <w:rFonts w:ascii="標楷體" w:eastAsia="標楷體" w:hAnsi="標楷體" w:hint="eastAsia"/>
          <w:sz w:val="32"/>
          <w:szCs w:val="32"/>
        </w:rPr>
        <w:t>產業分類：</w:t>
      </w:r>
    </w:p>
    <w:p w:rsidR="00716A12" w:rsidRPr="00716A12" w:rsidRDefault="00716A12" w:rsidP="00716A12">
      <w:pPr>
        <w:spacing w:beforeLines="0" w:afterLines="0" w:line="500" w:lineRule="exact"/>
        <w:ind w:left="1440"/>
        <w:jc w:val="both"/>
        <w:rPr>
          <w:rFonts w:ascii="標楷體" w:eastAsia="標楷體" w:hAnsi="標楷體"/>
          <w:sz w:val="32"/>
          <w:szCs w:val="32"/>
        </w:rPr>
      </w:pPr>
      <w:proofErr w:type="gramStart"/>
      <w:r w:rsidRPr="00716A12">
        <w:rPr>
          <w:rFonts w:ascii="標楷體" w:eastAsia="標楷體" w:hAnsi="標楷體" w:hint="eastAsia"/>
          <w:sz w:val="32"/>
          <w:szCs w:val="32"/>
        </w:rPr>
        <w:t>同壹、</w:t>
      </w:r>
      <w:proofErr w:type="gramEnd"/>
      <w:r w:rsidRPr="00716A12">
        <w:rPr>
          <w:rFonts w:ascii="標楷體" w:eastAsia="標楷體" w:hAnsi="標楷體" w:hint="eastAsia"/>
          <w:sz w:val="32"/>
          <w:szCs w:val="32"/>
        </w:rPr>
        <w:t>產業財務比率資訊</w:t>
      </w:r>
    </w:p>
    <w:p w:rsidR="00BA4A2D" w:rsidRDefault="00F24ECF" w:rsidP="00716A12">
      <w:pPr>
        <w:pStyle w:val="a3"/>
        <w:numPr>
          <w:ilvl w:val="0"/>
          <w:numId w:val="8"/>
        </w:numPr>
        <w:spacing w:beforeLines="0" w:afterLines="0" w:line="500" w:lineRule="exact"/>
        <w:ind w:leftChars="0"/>
        <w:jc w:val="both"/>
        <w:rPr>
          <w:rFonts w:ascii="標楷體" w:eastAsia="標楷體" w:hAnsi="標楷體"/>
          <w:sz w:val="32"/>
          <w:szCs w:val="32"/>
        </w:rPr>
      </w:pPr>
      <w:r w:rsidRPr="004B49E5">
        <w:rPr>
          <w:rFonts w:ascii="標楷體" w:eastAsia="標楷體" w:hAnsi="標楷體" w:hint="eastAsia"/>
          <w:bCs/>
          <w:color w:val="000000"/>
          <w:sz w:val="32"/>
          <w:szCs w:val="32"/>
        </w:rPr>
        <w:t>短期放款餘額(</w:t>
      </w:r>
      <w:r w:rsidRPr="00224930">
        <w:rPr>
          <w:rFonts w:ascii="標楷體" w:eastAsia="標楷體" w:hAnsi="標楷體" w:hint="eastAsia"/>
          <w:bCs/>
          <w:color w:val="000000"/>
          <w:sz w:val="32"/>
          <w:szCs w:val="32"/>
        </w:rPr>
        <w:t>科目別C,D,E</w:t>
      </w:r>
      <w:r w:rsidRPr="004B49E5">
        <w:rPr>
          <w:rFonts w:ascii="標楷體" w:eastAsia="標楷體" w:hAnsi="標楷體" w:hint="eastAsia"/>
          <w:bCs/>
          <w:color w:val="000000"/>
          <w:sz w:val="32"/>
          <w:szCs w:val="32"/>
        </w:rPr>
        <w:t>)</w:t>
      </w:r>
      <w:r w:rsidR="00BA4A2D" w:rsidRPr="00883300">
        <w:rPr>
          <w:rFonts w:ascii="標楷體" w:eastAsia="標楷體" w:hAnsi="標楷體" w:hint="eastAsia"/>
          <w:sz w:val="32"/>
          <w:szCs w:val="32"/>
        </w:rPr>
        <w:t>：</w:t>
      </w:r>
    </w:p>
    <w:p w:rsidR="00BA4A2D" w:rsidRDefault="00F24ECF" w:rsidP="00BA4A2D">
      <w:pPr>
        <w:spacing w:beforeLines="0" w:afterLines="0" w:line="500" w:lineRule="exact"/>
        <w:ind w:left="1440"/>
        <w:jc w:val="both"/>
        <w:rPr>
          <w:rFonts w:ascii="標楷體" w:eastAsia="標楷體" w:hAnsi="標楷體"/>
          <w:sz w:val="32"/>
          <w:szCs w:val="32"/>
        </w:rPr>
      </w:pPr>
      <w:r w:rsidRPr="000E3D55">
        <w:rPr>
          <w:rFonts w:ascii="標楷體" w:eastAsia="標楷體" w:hAnsi="標楷體" w:hint="eastAsia"/>
          <w:bCs/>
          <w:color w:val="000000"/>
          <w:sz w:val="32"/>
          <w:szCs w:val="32"/>
        </w:rPr>
        <w:t>C透支</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無擔保之支票存款戶依約透支之款項。</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t>D</w:t>
      </w:r>
      <w:proofErr w:type="gramStart"/>
      <w:r w:rsidRPr="000E3D55">
        <w:rPr>
          <w:rFonts w:ascii="標楷體" w:eastAsia="標楷體" w:hAnsi="標楷體" w:hint="eastAsia"/>
          <w:bCs/>
          <w:color w:val="000000"/>
          <w:sz w:val="32"/>
          <w:szCs w:val="32"/>
        </w:rPr>
        <w:t>票借短期</w:t>
      </w:r>
      <w:proofErr w:type="gramEnd"/>
      <w:r w:rsidRPr="000E3D55">
        <w:rPr>
          <w:rFonts w:ascii="標楷體" w:eastAsia="標楷體" w:hAnsi="標楷體" w:hint="eastAsia"/>
          <w:bCs/>
          <w:color w:val="000000"/>
          <w:sz w:val="32"/>
          <w:szCs w:val="32"/>
        </w:rPr>
        <w:t>放款</w:t>
      </w:r>
    </w:p>
    <w:p w:rsidR="00F24ECF" w:rsidRDefault="00F24ECF" w:rsidP="00F24ECF">
      <w:pPr>
        <w:spacing w:beforeLines="0" w:afterLines="0" w:line="500" w:lineRule="exact"/>
        <w:ind w:left="175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t>客票融資(又稱墊付</w:t>
      </w:r>
      <w:proofErr w:type="gramStart"/>
      <w:r w:rsidRPr="000E3D55">
        <w:rPr>
          <w:rFonts w:ascii="標楷體" w:eastAsia="標楷體" w:hAnsi="標楷體" w:hint="eastAsia"/>
          <w:bCs/>
          <w:color w:val="000000"/>
          <w:sz w:val="32"/>
          <w:szCs w:val="32"/>
        </w:rPr>
        <w:t>國內票</w:t>
      </w:r>
      <w:proofErr w:type="gramEnd"/>
      <w:r w:rsidRPr="000E3D55">
        <w:rPr>
          <w:rFonts w:ascii="標楷體" w:eastAsia="標楷體" w:hAnsi="標楷體" w:hint="eastAsia"/>
          <w:bCs/>
          <w:color w:val="000000"/>
          <w:sz w:val="32"/>
          <w:szCs w:val="32"/>
        </w:rPr>
        <w:t>款)之款項，惟以實</w:t>
      </w: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際交易行為產生之應收客票為限。</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t>E其他短期放款</w:t>
      </w:r>
    </w:p>
    <w:p w:rsidR="00F24ECF" w:rsidRPr="00205272" w:rsidRDefault="00F24ECF" w:rsidP="00BA4A2D">
      <w:pPr>
        <w:spacing w:beforeLines="0" w:afterLines="0" w:line="500" w:lineRule="exact"/>
        <w:ind w:left="1440"/>
        <w:jc w:val="both"/>
        <w:rPr>
          <w:rFonts w:ascii="標楷體" w:eastAsia="標楷體" w:hAnsi="標楷體"/>
          <w:sz w:val="32"/>
          <w:szCs w:val="32"/>
        </w:rPr>
      </w:pP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非已列示科目且授信期限一年以內之放款。</w:t>
      </w:r>
    </w:p>
    <w:p w:rsidR="00BA4A2D" w:rsidRDefault="00F24ECF" w:rsidP="00716A12">
      <w:pPr>
        <w:pStyle w:val="a3"/>
        <w:numPr>
          <w:ilvl w:val="0"/>
          <w:numId w:val="8"/>
        </w:numPr>
        <w:spacing w:beforeLines="0" w:afterLines="0" w:line="500" w:lineRule="exact"/>
        <w:ind w:leftChars="0"/>
        <w:jc w:val="both"/>
        <w:rPr>
          <w:rFonts w:ascii="標楷體" w:eastAsia="標楷體" w:hAnsi="標楷體"/>
          <w:sz w:val="32"/>
          <w:szCs w:val="32"/>
        </w:rPr>
      </w:pPr>
      <w:r w:rsidRPr="006120F4">
        <w:rPr>
          <w:rFonts w:ascii="標楷體" w:eastAsia="標楷體" w:hAnsi="標楷體" w:hint="eastAsia"/>
          <w:bCs/>
          <w:color w:val="000000"/>
          <w:sz w:val="32"/>
          <w:szCs w:val="32"/>
        </w:rPr>
        <w:t>中期放款餘額(科目別G,H)</w:t>
      </w:r>
      <w:r w:rsidR="00BA4A2D" w:rsidRPr="000E3D55">
        <w:rPr>
          <w:rFonts w:ascii="標楷體" w:eastAsia="標楷體" w:hAnsi="標楷體" w:hint="eastAsia"/>
          <w:sz w:val="32"/>
          <w:szCs w:val="32"/>
        </w:rPr>
        <w:t>：</w:t>
      </w:r>
    </w:p>
    <w:p w:rsidR="00BA4A2D" w:rsidRDefault="00F24ECF" w:rsidP="00BA4A2D">
      <w:pPr>
        <w:spacing w:beforeLines="0" w:afterLines="0" w:line="500" w:lineRule="exact"/>
        <w:ind w:left="144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lastRenderedPageBreak/>
        <w:t>G貸放會金(信用)</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合會業務貸放之款項。</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t>H中期放款</w:t>
      </w:r>
    </w:p>
    <w:p w:rsidR="00F24ECF" w:rsidRDefault="00F24ECF" w:rsidP="00BA4A2D">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授信期間超過一年以上，七年以內之放款。</w:t>
      </w:r>
    </w:p>
    <w:p w:rsidR="00F24ECF" w:rsidRPr="00F24ECF" w:rsidRDefault="00F24ECF" w:rsidP="00716A12">
      <w:pPr>
        <w:pStyle w:val="a3"/>
        <w:numPr>
          <w:ilvl w:val="0"/>
          <w:numId w:val="8"/>
        </w:numPr>
        <w:spacing w:beforeLines="0" w:afterLines="0" w:line="500" w:lineRule="exact"/>
        <w:ind w:leftChars="0"/>
        <w:jc w:val="both"/>
        <w:rPr>
          <w:rFonts w:ascii="標楷體" w:eastAsia="標楷體" w:hAnsi="標楷體"/>
          <w:sz w:val="32"/>
          <w:szCs w:val="32"/>
        </w:rPr>
      </w:pPr>
      <w:r w:rsidRPr="006120F4">
        <w:rPr>
          <w:rFonts w:ascii="標楷體" w:eastAsia="標楷體" w:hAnsi="標楷體" w:hint="eastAsia"/>
          <w:bCs/>
          <w:color w:val="000000"/>
          <w:sz w:val="32"/>
          <w:szCs w:val="32"/>
        </w:rPr>
        <w:t>長期放款餘額(科目別I)</w:t>
      </w:r>
      <w:r w:rsidRPr="00F24ECF">
        <w:rPr>
          <w:rFonts w:ascii="標楷體" w:eastAsia="標楷體" w:hAnsi="標楷體" w:hint="eastAsia"/>
          <w:sz w:val="32"/>
          <w:szCs w:val="32"/>
        </w:rPr>
        <w:t xml:space="preserve"> </w:t>
      </w:r>
      <w:r w:rsidRPr="000E3D55">
        <w:rPr>
          <w:rFonts w:ascii="標楷體" w:eastAsia="標楷體" w:hAnsi="標楷體" w:hint="eastAsia"/>
          <w:sz w:val="32"/>
          <w:szCs w:val="32"/>
        </w:rPr>
        <w:t>：</w:t>
      </w:r>
    </w:p>
    <w:p w:rsidR="00F24ECF" w:rsidRDefault="00F24ECF" w:rsidP="00F24ECF">
      <w:pPr>
        <w:spacing w:beforeLines="0" w:afterLines="0" w:line="500" w:lineRule="exact"/>
        <w:ind w:left="1440"/>
        <w:jc w:val="both"/>
        <w:rPr>
          <w:rFonts w:ascii="標楷體" w:eastAsia="標楷體" w:hAnsi="標楷體"/>
          <w:bCs/>
          <w:color w:val="000000"/>
          <w:sz w:val="32"/>
          <w:szCs w:val="32"/>
        </w:rPr>
      </w:pPr>
      <w:r w:rsidRPr="000E3D55">
        <w:rPr>
          <w:rFonts w:ascii="標楷體" w:eastAsia="標楷體" w:hAnsi="標楷體" w:hint="eastAsia"/>
          <w:bCs/>
          <w:color w:val="000000"/>
          <w:sz w:val="32"/>
          <w:szCs w:val="32"/>
        </w:rPr>
        <w:t>I長期放款</w:t>
      </w:r>
    </w:p>
    <w:p w:rsidR="00F24ECF" w:rsidRDefault="00F24ECF" w:rsidP="00F24ECF">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0E3D55">
        <w:rPr>
          <w:rFonts w:ascii="標楷體" w:eastAsia="標楷體" w:hAnsi="標楷體" w:hint="eastAsia"/>
          <w:bCs/>
          <w:color w:val="000000"/>
          <w:sz w:val="32"/>
          <w:szCs w:val="32"/>
        </w:rPr>
        <w:t>授信期間超過七年以上之放款。</w:t>
      </w:r>
    </w:p>
    <w:p w:rsidR="00F24ECF" w:rsidRPr="00F24ECF" w:rsidRDefault="00F24ECF" w:rsidP="00716A12">
      <w:pPr>
        <w:pStyle w:val="a3"/>
        <w:numPr>
          <w:ilvl w:val="0"/>
          <w:numId w:val="8"/>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bCs/>
          <w:color w:val="000000"/>
          <w:sz w:val="32"/>
          <w:szCs w:val="32"/>
        </w:rPr>
        <w:t>資金用途</w:t>
      </w:r>
      <w:r w:rsidRPr="000E3D55">
        <w:rPr>
          <w:rFonts w:ascii="標楷體" w:eastAsia="標楷體" w:hAnsi="標楷體" w:hint="eastAsia"/>
          <w:sz w:val="32"/>
          <w:szCs w:val="32"/>
        </w:rPr>
        <w:t>：</w:t>
      </w:r>
    </w:p>
    <w:p w:rsidR="00F24ECF" w:rsidRPr="00F24ECF" w:rsidRDefault="00F24ECF" w:rsidP="00F24ECF">
      <w:pPr>
        <w:spacing w:beforeLines="0" w:afterLines="0" w:line="500" w:lineRule="exact"/>
        <w:ind w:left="1764"/>
        <w:jc w:val="both"/>
        <w:rPr>
          <w:rFonts w:ascii="標楷體" w:eastAsia="標楷體" w:hAnsi="標楷體"/>
          <w:bCs/>
          <w:color w:val="000000"/>
          <w:sz w:val="32"/>
          <w:szCs w:val="32"/>
        </w:rPr>
      </w:pPr>
      <w:r>
        <w:rPr>
          <w:rFonts w:ascii="標楷體" w:eastAsia="標楷體" w:hAnsi="標楷體" w:hint="eastAsia"/>
          <w:bCs/>
          <w:color w:val="000000"/>
          <w:sz w:val="32"/>
          <w:szCs w:val="32"/>
        </w:rPr>
        <w:t>分為「購置不動產」、「購置動產」、「企業投資」</w:t>
      </w:r>
      <w:r w:rsidRPr="000E3D55">
        <w:rPr>
          <w:rFonts w:ascii="標楷體" w:eastAsia="標楷體" w:hAnsi="標楷體" w:hint="eastAsia"/>
          <w:bCs/>
          <w:color w:val="000000"/>
          <w:sz w:val="32"/>
          <w:szCs w:val="32"/>
        </w:rPr>
        <w:t>「週轉金」等四項。</w:t>
      </w:r>
    </w:p>
    <w:p w:rsidR="00BA4A2D" w:rsidRDefault="00BA4A2D" w:rsidP="00716A12">
      <w:pPr>
        <w:pStyle w:val="a3"/>
        <w:numPr>
          <w:ilvl w:val="0"/>
          <w:numId w:val="8"/>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bCs/>
          <w:color w:val="000000"/>
          <w:sz w:val="32"/>
          <w:szCs w:val="32"/>
        </w:rPr>
        <w:t>統計單位</w:t>
      </w:r>
      <w:r w:rsidRPr="000E3D55">
        <w:rPr>
          <w:rFonts w:ascii="標楷體" w:eastAsia="標楷體" w:hAnsi="標楷體" w:hint="eastAsia"/>
          <w:sz w:val="32"/>
          <w:szCs w:val="32"/>
        </w:rPr>
        <w:t>：</w:t>
      </w:r>
    </w:p>
    <w:p w:rsidR="00F24ECF" w:rsidRPr="00F24ECF" w:rsidRDefault="00F24ECF" w:rsidP="00F24ECF">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F0343A">
        <w:rPr>
          <w:rFonts w:ascii="標楷體" w:eastAsia="標楷體" w:hAnsi="標楷體" w:hint="eastAsia"/>
          <w:bCs/>
          <w:color w:val="000000"/>
          <w:sz w:val="32"/>
          <w:szCs w:val="32"/>
        </w:rPr>
        <w:t>新臺幣百萬元</w:t>
      </w:r>
      <w:r w:rsidRPr="00F24ECF">
        <w:rPr>
          <w:rFonts w:ascii="標楷體" w:eastAsia="標楷體" w:hAnsi="標楷體" w:hint="eastAsia"/>
          <w:bCs/>
          <w:color w:val="000000"/>
          <w:sz w:val="32"/>
          <w:szCs w:val="32"/>
        </w:rPr>
        <w:t>。</w:t>
      </w:r>
    </w:p>
    <w:p w:rsidR="00413805" w:rsidRDefault="00413805" w:rsidP="00413805">
      <w:pPr>
        <w:pStyle w:val="a3"/>
        <w:numPr>
          <w:ilvl w:val="0"/>
          <w:numId w:val="1"/>
        </w:numPr>
        <w:spacing w:beforeLines="0" w:afterLines="0"/>
        <w:ind w:leftChars="0"/>
        <w:outlineLvl w:val="0"/>
        <w:rPr>
          <w:rFonts w:ascii="標楷體" w:eastAsia="標楷體" w:hAnsi="標楷體"/>
          <w:bCs/>
          <w:color w:val="000000"/>
          <w:sz w:val="32"/>
          <w:szCs w:val="32"/>
        </w:rPr>
      </w:pPr>
      <w:r>
        <w:rPr>
          <w:rFonts w:ascii="標楷體" w:eastAsia="標楷體" w:hAnsi="標楷體" w:hint="eastAsia"/>
          <w:bCs/>
          <w:color w:val="000000"/>
          <w:sz w:val="32"/>
          <w:szCs w:val="32"/>
        </w:rPr>
        <w:t>產</w:t>
      </w:r>
      <w:r w:rsidRPr="000E3D55">
        <w:rPr>
          <w:rFonts w:ascii="標楷體" w:eastAsia="標楷體" w:hAnsi="標楷體" w:hint="eastAsia"/>
          <w:bCs/>
          <w:color w:val="000000"/>
          <w:sz w:val="32"/>
          <w:szCs w:val="32"/>
        </w:rPr>
        <w:t>業授信</w:t>
      </w:r>
      <w:r>
        <w:rPr>
          <w:rFonts w:ascii="標楷體" w:eastAsia="標楷體" w:hAnsi="標楷體" w:hint="eastAsia"/>
          <w:bCs/>
          <w:color w:val="000000"/>
          <w:sz w:val="32"/>
          <w:szCs w:val="32"/>
        </w:rPr>
        <w:t>擔保品</w:t>
      </w:r>
      <w:r w:rsidRPr="000E3D55">
        <w:rPr>
          <w:rFonts w:ascii="標楷體" w:eastAsia="標楷體" w:hAnsi="標楷體" w:hint="eastAsia"/>
          <w:bCs/>
          <w:color w:val="000000"/>
          <w:sz w:val="32"/>
          <w:szCs w:val="32"/>
        </w:rPr>
        <w:t>資訊</w:t>
      </w:r>
    </w:p>
    <w:p w:rsidR="00413805" w:rsidRPr="00094814" w:rsidRDefault="00413805" w:rsidP="00413805">
      <w:pPr>
        <w:pStyle w:val="a3"/>
        <w:spacing w:beforeLines="0" w:afterLines="0" w:line="0" w:lineRule="atLeast"/>
        <w:ind w:leftChars="0" w:left="720"/>
        <w:rPr>
          <w:rFonts w:ascii="標楷體" w:eastAsia="標楷體" w:hAnsi="標楷體" w:cs="Times New Roman"/>
          <w:sz w:val="32"/>
          <w:szCs w:val="32"/>
        </w:rPr>
      </w:pPr>
      <w:r w:rsidRPr="00094814">
        <w:rPr>
          <w:rFonts w:ascii="標楷體" w:eastAsia="標楷體" w:hAnsi="標楷體" w:cs="Times New Roman" w:hint="eastAsia"/>
          <w:sz w:val="32"/>
          <w:szCs w:val="32"/>
        </w:rPr>
        <w:t>揭露產業</w:t>
      </w:r>
      <w:r>
        <w:rPr>
          <w:rFonts w:ascii="標楷體" w:eastAsia="標楷體" w:hAnsi="標楷體" w:cs="Times New Roman" w:hint="eastAsia"/>
          <w:sz w:val="32"/>
          <w:szCs w:val="32"/>
        </w:rPr>
        <w:t>別</w:t>
      </w:r>
      <w:r w:rsidRPr="00094814">
        <w:rPr>
          <w:rFonts w:ascii="標楷體" w:eastAsia="標楷體" w:hAnsi="標楷體" w:cs="Times New Roman" w:hint="eastAsia"/>
          <w:sz w:val="32"/>
          <w:szCs w:val="32"/>
        </w:rPr>
        <w:t>與金融機構之授信</w:t>
      </w:r>
      <w:r>
        <w:rPr>
          <w:rFonts w:ascii="標楷體" w:eastAsia="標楷體" w:hAnsi="標楷體" w:cs="Times New Roman" w:hint="eastAsia"/>
          <w:sz w:val="32"/>
          <w:szCs w:val="32"/>
        </w:rPr>
        <w:t>條件</w:t>
      </w:r>
      <w:r w:rsidR="00E56211">
        <w:rPr>
          <w:rFonts w:ascii="標楷體" w:eastAsia="標楷體" w:hAnsi="標楷體" w:cs="Times New Roman" w:hint="eastAsia"/>
          <w:sz w:val="32"/>
          <w:szCs w:val="32"/>
        </w:rPr>
        <w:t>(擔保</w:t>
      </w:r>
      <w:proofErr w:type="gramStart"/>
      <w:r w:rsidR="00E56211">
        <w:rPr>
          <w:rFonts w:ascii="標楷體" w:eastAsia="標楷體" w:hAnsi="標楷體" w:cs="Times New Roman" w:hint="eastAsia"/>
          <w:sz w:val="32"/>
          <w:szCs w:val="32"/>
        </w:rPr>
        <w:t>品徵提</w:t>
      </w:r>
      <w:proofErr w:type="gramEnd"/>
      <w:r w:rsidR="00E56211">
        <w:rPr>
          <w:rFonts w:ascii="標楷體" w:eastAsia="標楷體" w:hAnsi="標楷體" w:cs="Times New Roman" w:hint="eastAsia"/>
          <w:sz w:val="32"/>
          <w:szCs w:val="32"/>
        </w:rPr>
        <w:t>與否)</w:t>
      </w:r>
      <w:r w:rsidRPr="00094814">
        <w:rPr>
          <w:rFonts w:ascii="標楷體" w:eastAsia="標楷體" w:hAnsi="標楷體" w:cs="Times New Roman" w:hint="eastAsia"/>
          <w:sz w:val="32"/>
          <w:szCs w:val="32"/>
        </w:rPr>
        <w:t>，瞭解</w:t>
      </w:r>
      <w:r w:rsidR="00E83285" w:rsidRPr="00E83285">
        <w:rPr>
          <w:rFonts w:ascii="標楷體" w:eastAsia="標楷體" w:hAnsi="標楷體" w:cs="Times New Roman" w:hint="eastAsia"/>
          <w:sz w:val="32"/>
          <w:szCs w:val="32"/>
        </w:rPr>
        <w:t>同產業授信下擔保</w:t>
      </w:r>
      <w:proofErr w:type="gramStart"/>
      <w:r w:rsidR="00E83285" w:rsidRPr="00E83285">
        <w:rPr>
          <w:rFonts w:ascii="標楷體" w:eastAsia="標楷體" w:hAnsi="標楷體" w:cs="Times New Roman" w:hint="eastAsia"/>
          <w:sz w:val="32"/>
          <w:szCs w:val="32"/>
        </w:rPr>
        <w:t>品徵提</w:t>
      </w:r>
      <w:proofErr w:type="gramEnd"/>
      <w:r w:rsidR="00E83285" w:rsidRPr="00E83285">
        <w:rPr>
          <w:rFonts w:ascii="標楷體" w:eastAsia="標楷體" w:hAnsi="標楷體" w:cs="Times New Roman" w:hint="eastAsia"/>
          <w:sz w:val="32"/>
          <w:szCs w:val="32"/>
        </w:rPr>
        <w:t>與否之趨勢、利於使用者研究擔保</w:t>
      </w:r>
      <w:proofErr w:type="gramStart"/>
      <w:r w:rsidR="00E83285" w:rsidRPr="00E83285">
        <w:rPr>
          <w:rFonts w:ascii="標楷體" w:eastAsia="標楷體" w:hAnsi="標楷體" w:cs="Times New Roman" w:hint="eastAsia"/>
          <w:sz w:val="32"/>
          <w:szCs w:val="32"/>
        </w:rPr>
        <w:t>品徵提</w:t>
      </w:r>
      <w:proofErr w:type="gramEnd"/>
      <w:r w:rsidR="00E83285" w:rsidRPr="00E83285">
        <w:rPr>
          <w:rFonts w:ascii="標楷體" w:eastAsia="標楷體" w:hAnsi="標楷體" w:cs="Times New Roman" w:hint="eastAsia"/>
          <w:sz w:val="32"/>
          <w:szCs w:val="32"/>
        </w:rPr>
        <w:t>與逾放比之關連性，或不同</w:t>
      </w:r>
      <w:proofErr w:type="gramStart"/>
      <w:r w:rsidR="00E83285" w:rsidRPr="00E83285">
        <w:rPr>
          <w:rFonts w:ascii="標楷體" w:eastAsia="標楷體" w:hAnsi="標楷體" w:cs="Times New Roman" w:hint="eastAsia"/>
          <w:sz w:val="32"/>
          <w:szCs w:val="32"/>
        </w:rPr>
        <w:t>產業間因發展榮枯所造成</w:t>
      </w:r>
      <w:proofErr w:type="gramEnd"/>
      <w:r w:rsidR="00E83285" w:rsidRPr="00E83285">
        <w:rPr>
          <w:rFonts w:ascii="標楷體" w:eastAsia="標楷體" w:hAnsi="標楷體" w:cs="Times New Roman" w:hint="eastAsia"/>
          <w:sz w:val="32"/>
          <w:szCs w:val="32"/>
        </w:rPr>
        <w:t>授信條件的差異</w:t>
      </w:r>
      <w:r w:rsidRPr="00094814">
        <w:rPr>
          <w:rFonts w:ascii="標楷體" w:eastAsia="標楷體" w:hAnsi="標楷體" w:cs="Times New Roman" w:hint="eastAsia"/>
          <w:sz w:val="32"/>
          <w:szCs w:val="32"/>
        </w:rPr>
        <w:t>。</w:t>
      </w:r>
    </w:p>
    <w:p w:rsidR="00562F9F" w:rsidRDefault="00413805">
      <w:pPr>
        <w:pStyle w:val="a3"/>
        <w:numPr>
          <w:ilvl w:val="0"/>
          <w:numId w:val="21"/>
        </w:numPr>
        <w:spacing w:beforeLines="0" w:afterLines="0"/>
        <w:ind w:leftChars="0"/>
        <w:outlineLvl w:val="1"/>
        <w:rPr>
          <w:rFonts w:ascii="標楷體" w:eastAsia="標楷體" w:hAnsi="標楷體"/>
          <w:bCs/>
          <w:color w:val="000000"/>
          <w:sz w:val="32"/>
          <w:szCs w:val="32"/>
        </w:rPr>
      </w:pPr>
      <w:r w:rsidRPr="000E3D55">
        <w:rPr>
          <w:rFonts w:ascii="標楷體" w:eastAsia="標楷體" w:hAnsi="標楷體" w:hint="eastAsia"/>
          <w:bCs/>
          <w:color w:val="000000"/>
          <w:sz w:val="32"/>
          <w:szCs w:val="32"/>
        </w:rPr>
        <w:t>資訊範圍及對象</w:t>
      </w:r>
    </w:p>
    <w:p w:rsidR="00413805" w:rsidRDefault="00E56211" w:rsidP="00413805">
      <w:pPr>
        <w:pStyle w:val="a3"/>
        <w:spacing w:beforeLines="0" w:afterLines="0" w:line="500" w:lineRule="exact"/>
        <w:ind w:leftChars="0" w:left="1440"/>
        <w:rPr>
          <w:rFonts w:ascii="標楷體" w:eastAsia="標楷體" w:hAnsi="標楷體"/>
          <w:bCs/>
          <w:color w:val="000000"/>
          <w:sz w:val="32"/>
          <w:szCs w:val="32"/>
        </w:rPr>
      </w:pPr>
      <w:proofErr w:type="gramStart"/>
      <w:r>
        <w:rPr>
          <w:rFonts w:ascii="標楷體" w:eastAsia="標楷體" w:hAnsi="標楷體" w:hint="eastAsia"/>
          <w:bCs/>
          <w:color w:val="000000"/>
          <w:sz w:val="32"/>
          <w:szCs w:val="32"/>
        </w:rPr>
        <w:t>同參</w:t>
      </w:r>
      <w:proofErr w:type="gramEnd"/>
      <w:r>
        <w:rPr>
          <w:rFonts w:ascii="標楷體" w:eastAsia="標楷體" w:hAnsi="標楷體" w:hint="eastAsia"/>
          <w:bCs/>
          <w:color w:val="000000"/>
          <w:sz w:val="32"/>
          <w:szCs w:val="32"/>
        </w:rPr>
        <w:t>、產</w:t>
      </w:r>
      <w:r w:rsidRPr="000E3D55">
        <w:rPr>
          <w:rFonts w:ascii="標楷體" w:eastAsia="標楷體" w:hAnsi="標楷體" w:hint="eastAsia"/>
          <w:bCs/>
          <w:color w:val="000000"/>
          <w:sz w:val="32"/>
          <w:szCs w:val="32"/>
        </w:rPr>
        <w:t>業</w:t>
      </w:r>
      <w:proofErr w:type="gramStart"/>
      <w:r w:rsidRPr="000E3D55">
        <w:rPr>
          <w:rFonts w:ascii="標楷體" w:eastAsia="標楷體" w:hAnsi="標楷體" w:hint="eastAsia"/>
          <w:bCs/>
          <w:color w:val="000000"/>
          <w:sz w:val="32"/>
          <w:szCs w:val="32"/>
        </w:rPr>
        <w:t>授信彙總</w:t>
      </w:r>
      <w:proofErr w:type="gramEnd"/>
      <w:r w:rsidRPr="000E3D55">
        <w:rPr>
          <w:rFonts w:ascii="標楷體" w:eastAsia="標楷體" w:hAnsi="標楷體" w:hint="eastAsia"/>
          <w:bCs/>
          <w:color w:val="000000"/>
          <w:sz w:val="32"/>
          <w:szCs w:val="32"/>
        </w:rPr>
        <w:t>資訊</w:t>
      </w:r>
      <w:r>
        <w:rPr>
          <w:rFonts w:ascii="標楷體" w:eastAsia="標楷體" w:hAnsi="標楷體" w:hint="eastAsia"/>
          <w:bCs/>
          <w:color w:val="000000"/>
          <w:sz w:val="32"/>
          <w:szCs w:val="32"/>
        </w:rPr>
        <w:t>。</w:t>
      </w:r>
    </w:p>
    <w:p w:rsidR="00562F9F" w:rsidRDefault="00413805">
      <w:pPr>
        <w:pStyle w:val="a3"/>
        <w:numPr>
          <w:ilvl w:val="0"/>
          <w:numId w:val="21"/>
        </w:numPr>
        <w:spacing w:beforeLines="0" w:afterLines="0" w:line="500" w:lineRule="exact"/>
        <w:ind w:leftChars="0"/>
        <w:outlineLvl w:val="1"/>
        <w:rPr>
          <w:rFonts w:ascii="標楷體" w:eastAsia="標楷體" w:hAnsi="標楷體"/>
          <w:bCs/>
          <w:color w:val="000000"/>
          <w:sz w:val="32"/>
          <w:szCs w:val="32"/>
        </w:rPr>
      </w:pPr>
      <w:r w:rsidRPr="000E3D55">
        <w:rPr>
          <w:rFonts w:ascii="標楷體" w:eastAsia="標楷體" w:hAnsi="標楷體" w:hint="eastAsia"/>
          <w:sz w:val="32"/>
          <w:szCs w:val="32"/>
        </w:rPr>
        <w:t>資訊週期</w:t>
      </w:r>
    </w:p>
    <w:p w:rsidR="00413805" w:rsidRPr="009F57BC" w:rsidRDefault="00413805" w:rsidP="00413805">
      <w:pPr>
        <w:pStyle w:val="a3"/>
        <w:spacing w:beforeLines="0" w:afterLines="0" w:line="500" w:lineRule="exact"/>
        <w:ind w:leftChars="0" w:left="1440"/>
        <w:rPr>
          <w:rFonts w:ascii="標楷體" w:eastAsia="標楷體" w:hAnsi="標楷體"/>
          <w:bCs/>
          <w:color w:val="000000"/>
          <w:sz w:val="32"/>
          <w:szCs w:val="32"/>
        </w:rPr>
      </w:pPr>
      <w:r>
        <w:rPr>
          <w:rFonts w:ascii="標楷體" w:eastAsia="標楷體" w:hAnsi="標楷體" w:hint="eastAsia"/>
          <w:sz w:val="32"/>
          <w:szCs w:val="32"/>
        </w:rPr>
        <w:t>自104</w:t>
      </w:r>
      <w:r w:rsidR="003441D7">
        <w:rPr>
          <w:rFonts w:ascii="標楷體" w:eastAsia="標楷體" w:hAnsi="標楷體" w:hint="eastAsia"/>
          <w:sz w:val="32"/>
          <w:szCs w:val="32"/>
        </w:rPr>
        <w:t>年起每</w:t>
      </w:r>
      <w:r>
        <w:rPr>
          <w:rFonts w:ascii="標楷體" w:eastAsia="標楷體" w:hAnsi="標楷體" w:hint="eastAsia"/>
          <w:sz w:val="32"/>
          <w:szCs w:val="32"/>
        </w:rPr>
        <w:t>年提供</w:t>
      </w:r>
      <w:r w:rsidRPr="000E3D55">
        <w:rPr>
          <w:rFonts w:ascii="標楷體" w:eastAsia="標楷體" w:hAnsi="標楷體" w:hint="eastAsia"/>
          <w:sz w:val="32"/>
          <w:szCs w:val="32"/>
        </w:rPr>
        <w:t>，始</w:t>
      </w:r>
      <w:r w:rsidRPr="003E50BA">
        <w:rPr>
          <w:rFonts w:ascii="標楷體" w:eastAsia="標楷體" w:hAnsi="標楷體" w:hint="eastAsia"/>
          <w:sz w:val="32"/>
          <w:szCs w:val="32"/>
        </w:rPr>
        <w:t>自</w:t>
      </w:r>
      <w:r w:rsidR="00E83285" w:rsidRPr="003E50BA">
        <w:rPr>
          <w:rFonts w:ascii="標楷體" w:eastAsia="標楷體" w:hAnsi="標楷體"/>
          <w:sz w:val="32"/>
          <w:szCs w:val="32"/>
        </w:rPr>
        <w:t>9</w:t>
      </w:r>
      <w:r w:rsidR="003441D7" w:rsidRPr="003E50BA">
        <w:rPr>
          <w:rFonts w:ascii="標楷體" w:eastAsia="標楷體" w:hAnsi="標楷體" w:hint="eastAsia"/>
          <w:sz w:val="32"/>
          <w:szCs w:val="32"/>
        </w:rPr>
        <w:t>6</w:t>
      </w:r>
      <w:r w:rsidRPr="000E3D55">
        <w:rPr>
          <w:rFonts w:ascii="標楷體" w:eastAsia="標楷體" w:hAnsi="標楷體" w:hint="eastAsia"/>
          <w:sz w:val="32"/>
          <w:szCs w:val="32"/>
        </w:rPr>
        <w:t>年度。</w:t>
      </w:r>
    </w:p>
    <w:p w:rsidR="00562F9F" w:rsidRDefault="00413805">
      <w:pPr>
        <w:pStyle w:val="a3"/>
        <w:numPr>
          <w:ilvl w:val="0"/>
          <w:numId w:val="21"/>
        </w:numPr>
        <w:spacing w:beforeLines="0" w:afterLines="0" w:line="500" w:lineRule="exact"/>
        <w:ind w:leftChars="0"/>
        <w:outlineLvl w:val="1"/>
        <w:rPr>
          <w:rFonts w:ascii="標楷體" w:eastAsia="標楷體" w:hAnsi="標楷體"/>
          <w:bCs/>
          <w:color w:val="000000"/>
          <w:sz w:val="32"/>
          <w:szCs w:val="32"/>
        </w:rPr>
      </w:pPr>
      <w:r w:rsidRPr="000E3D55">
        <w:rPr>
          <w:rFonts w:ascii="標楷體" w:eastAsia="標楷體" w:hAnsi="標楷體" w:hint="eastAsia"/>
          <w:sz w:val="32"/>
          <w:szCs w:val="32"/>
        </w:rPr>
        <w:t>統計項目定義</w:t>
      </w:r>
    </w:p>
    <w:p w:rsidR="00562F9F" w:rsidRDefault="00413805">
      <w:pPr>
        <w:pStyle w:val="a3"/>
        <w:numPr>
          <w:ilvl w:val="0"/>
          <w:numId w:val="22"/>
        </w:numPr>
        <w:spacing w:beforeLines="0" w:afterLines="0" w:line="500" w:lineRule="exact"/>
        <w:ind w:leftChars="0"/>
        <w:jc w:val="both"/>
        <w:rPr>
          <w:rFonts w:ascii="標楷體" w:eastAsia="標楷體" w:hAnsi="標楷體"/>
          <w:sz w:val="32"/>
          <w:szCs w:val="32"/>
        </w:rPr>
      </w:pPr>
      <w:r w:rsidRPr="00883300">
        <w:rPr>
          <w:rFonts w:ascii="標楷體" w:eastAsia="標楷體" w:hAnsi="標楷體" w:hint="eastAsia"/>
          <w:sz w:val="32"/>
          <w:szCs w:val="32"/>
        </w:rPr>
        <w:t>產業分類：</w:t>
      </w:r>
    </w:p>
    <w:p w:rsidR="00413805" w:rsidRPr="00716A12" w:rsidRDefault="00413805" w:rsidP="00413805">
      <w:pPr>
        <w:spacing w:beforeLines="0" w:afterLines="0" w:line="500" w:lineRule="exact"/>
        <w:ind w:left="1440"/>
        <w:jc w:val="both"/>
        <w:rPr>
          <w:rFonts w:ascii="標楷體" w:eastAsia="標楷體" w:hAnsi="標楷體"/>
          <w:sz w:val="32"/>
          <w:szCs w:val="32"/>
        </w:rPr>
      </w:pPr>
      <w:proofErr w:type="gramStart"/>
      <w:r w:rsidRPr="00716A12">
        <w:rPr>
          <w:rFonts w:ascii="標楷體" w:eastAsia="標楷體" w:hAnsi="標楷體" w:hint="eastAsia"/>
          <w:sz w:val="32"/>
          <w:szCs w:val="32"/>
        </w:rPr>
        <w:t>同壹、</w:t>
      </w:r>
      <w:proofErr w:type="gramEnd"/>
      <w:r w:rsidRPr="00716A12">
        <w:rPr>
          <w:rFonts w:ascii="標楷體" w:eastAsia="標楷體" w:hAnsi="標楷體" w:hint="eastAsia"/>
          <w:sz w:val="32"/>
          <w:szCs w:val="32"/>
        </w:rPr>
        <w:t>產業財務比率資訊</w:t>
      </w:r>
    </w:p>
    <w:p w:rsidR="00562F9F" w:rsidRDefault="00413805">
      <w:pPr>
        <w:pStyle w:val="a3"/>
        <w:numPr>
          <w:ilvl w:val="0"/>
          <w:numId w:val="22"/>
        </w:numPr>
        <w:spacing w:beforeLines="0" w:afterLines="0" w:line="500" w:lineRule="exact"/>
        <w:ind w:leftChars="0"/>
        <w:jc w:val="both"/>
        <w:rPr>
          <w:rFonts w:ascii="標楷體" w:eastAsia="標楷體" w:hAnsi="標楷體"/>
          <w:sz w:val="32"/>
          <w:szCs w:val="32"/>
        </w:rPr>
      </w:pPr>
      <w:r w:rsidRPr="000E3D55">
        <w:rPr>
          <w:rFonts w:ascii="標楷體" w:eastAsia="標楷體" w:hAnsi="標楷體" w:hint="eastAsia"/>
          <w:bCs/>
          <w:color w:val="000000"/>
          <w:sz w:val="32"/>
          <w:szCs w:val="32"/>
        </w:rPr>
        <w:t>統計單位</w:t>
      </w:r>
      <w:r w:rsidRPr="000E3D55">
        <w:rPr>
          <w:rFonts w:ascii="標楷體" w:eastAsia="標楷體" w:hAnsi="標楷體" w:hint="eastAsia"/>
          <w:sz w:val="32"/>
          <w:szCs w:val="32"/>
        </w:rPr>
        <w:t>：</w:t>
      </w:r>
    </w:p>
    <w:p w:rsidR="00413805" w:rsidRPr="00F24ECF" w:rsidRDefault="00413805" w:rsidP="00413805">
      <w:pPr>
        <w:spacing w:beforeLines="0" w:afterLines="0" w:line="500" w:lineRule="exact"/>
        <w:ind w:left="1440"/>
        <w:jc w:val="both"/>
        <w:rPr>
          <w:rFonts w:ascii="標楷體" w:eastAsia="標楷體" w:hAnsi="標楷體"/>
          <w:bCs/>
          <w:color w:val="000000"/>
          <w:sz w:val="32"/>
          <w:szCs w:val="32"/>
        </w:rPr>
      </w:pPr>
      <w:r>
        <w:rPr>
          <w:rFonts w:ascii="標楷體" w:eastAsia="標楷體" w:hAnsi="標楷體" w:hint="eastAsia"/>
          <w:bCs/>
          <w:color w:val="000000"/>
          <w:sz w:val="32"/>
          <w:szCs w:val="32"/>
        </w:rPr>
        <w:t xml:space="preserve">  </w:t>
      </w:r>
      <w:r w:rsidRPr="00F0343A">
        <w:rPr>
          <w:rFonts w:ascii="標楷體" w:eastAsia="標楷體" w:hAnsi="標楷體" w:hint="eastAsia"/>
          <w:bCs/>
          <w:color w:val="000000"/>
          <w:sz w:val="32"/>
          <w:szCs w:val="32"/>
        </w:rPr>
        <w:t>新臺幣百萬元</w:t>
      </w:r>
      <w:r w:rsidRPr="00F24ECF">
        <w:rPr>
          <w:rFonts w:ascii="標楷體" w:eastAsia="標楷體" w:hAnsi="標楷體" w:hint="eastAsia"/>
          <w:bCs/>
          <w:color w:val="000000"/>
          <w:sz w:val="32"/>
          <w:szCs w:val="32"/>
        </w:rPr>
        <w:t>。</w:t>
      </w:r>
    </w:p>
    <w:p w:rsidR="00642A08" w:rsidRDefault="00642A08" w:rsidP="006B6D0C">
      <w:pPr>
        <w:pStyle w:val="a3"/>
        <w:spacing w:beforeLines="0" w:afterLines="0"/>
        <w:ind w:leftChars="0" w:left="720"/>
        <w:rPr>
          <w:sz w:val="44"/>
          <w:szCs w:val="44"/>
        </w:rPr>
      </w:pPr>
    </w:p>
    <w:p w:rsidR="00466914" w:rsidRDefault="00466914" w:rsidP="006B6D0C">
      <w:pPr>
        <w:pStyle w:val="a3"/>
        <w:spacing w:beforeLines="0" w:afterLines="0"/>
        <w:ind w:leftChars="0" w:left="720"/>
        <w:rPr>
          <w:sz w:val="44"/>
          <w:szCs w:val="44"/>
        </w:rPr>
      </w:pPr>
    </w:p>
    <w:p w:rsidR="00333A1C" w:rsidRDefault="00333A1C" w:rsidP="00814C66">
      <w:pPr>
        <w:pStyle w:val="a3"/>
        <w:spacing w:beforeLines="0" w:afterLines="0"/>
        <w:ind w:leftChars="0" w:left="720"/>
        <w:jc w:val="center"/>
        <w:outlineLvl w:val="0"/>
        <w:rPr>
          <w:sz w:val="44"/>
          <w:szCs w:val="44"/>
        </w:rPr>
      </w:pPr>
      <w:bookmarkStart w:id="22" w:name="_Toc429750458"/>
      <w:r w:rsidRPr="004A1FC8">
        <w:rPr>
          <w:rFonts w:ascii="標楷體" w:eastAsia="標楷體" w:hAnsi="標楷體" w:hint="eastAsia"/>
          <w:sz w:val="36"/>
          <w:szCs w:val="36"/>
        </w:rPr>
        <w:t>財務比率四十五項計算公式及說明</w:t>
      </w:r>
      <w:bookmarkEnd w:id="22"/>
    </w:p>
    <w:tbl>
      <w:tblPr>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307"/>
        <w:gridCol w:w="1701"/>
        <w:gridCol w:w="567"/>
        <w:gridCol w:w="567"/>
        <w:gridCol w:w="5103"/>
      </w:tblGrid>
      <w:tr w:rsidR="00121103" w:rsidRPr="000240AC" w:rsidTr="00333A1C">
        <w:trPr>
          <w:jc w:val="center"/>
        </w:trPr>
        <w:tc>
          <w:tcPr>
            <w:tcW w:w="540" w:type="dxa"/>
            <w:vMerge w:val="restart"/>
            <w:vAlign w:val="center"/>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項目</w:t>
            </w:r>
          </w:p>
        </w:tc>
        <w:tc>
          <w:tcPr>
            <w:tcW w:w="2307" w:type="dxa"/>
            <w:vMerge w:val="restart"/>
            <w:vAlign w:val="center"/>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比率名稱</w:t>
            </w:r>
          </w:p>
        </w:tc>
        <w:tc>
          <w:tcPr>
            <w:tcW w:w="1701" w:type="dxa"/>
            <w:vMerge w:val="restart"/>
            <w:vAlign w:val="center"/>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計算公式</w:t>
            </w:r>
          </w:p>
        </w:tc>
        <w:tc>
          <w:tcPr>
            <w:tcW w:w="1134" w:type="dxa"/>
            <w:gridSpan w:val="2"/>
          </w:tcPr>
          <w:p w:rsidR="00333A1C" w:rsidRPr="004A1FC8" w:rsidRDefault="00333A1C" w:rsidP="009654EC">
            <w:pPr>
              <w:snapToGrid w:val="0"/>
              <w:spacing w:beforeLines="0" w:afterLines="0"/>
              <w:jc w:val="center"/>
              <w:rPr>
                <w:rFonts w:ascii="標楷體" w:eastAsia="標楷體" w:hAnsi="標楷體"/>
                <w:b/>
                <w:sz w:val="22"/>
              </w:rPr>
            </w:pPr>
            <w:r w:rsidRPr="004A1FC8">
              <w:rPr>
                <w:rFonts w:ascii="標楷體" w:eastAsia="標楷體" w:hAnsi="標楷體" w:hint="eastAsia"/>
                <w:b/>
                <w:sz w:val="22"/>
              </w:rPr>
              <w:t>判定</w:t>
            </w:r>
          </w:p>
          <w:p w:rsidR="00333A1C" w:rsidRPr="004A1FC8" w:rsidRDefault="00333A1C" w:rsidP="009654EC">
            <w:pPr>
              <w:snapToGrid w:val="0"/>
              <w:spacing w:beforeLines="0" w:afterLines="0"/>
              <w:jc w:val="center"/>
              <w:rPr>
                <w:rFonts w:ascii="標楷體" w:eastAsia="標楷體" w:hAnsi="標楷體"/>
                <w:b/>
                <w:sz w:val="22"/>
              </w:rPr>
            </w:pPr>
            <w:r w:rsidRPr="004A1FC8">
              <w:rPr>
                <w:rFonts w:ascii="標楷體" w:eastAsia="標楷體" w:hAnsi="標楷體" w:hint="eastAsia"/>
                <w:b/>
                <w:sz w:val="22"/>
              </w:rPr>
              <w:t>原則</w:t>
            </w:r>
          </w:p>
        </w:tc>
        <w:tc>
          <w:tcPr>
            <w:tcW w:w="5103" w:type="dxa"/>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運用說明</w:t>
            </w:r>
          </w:p>
        </w:tc>
      </w:tr>
      <w:tr w:rsidR="00121103" w:rsidRPr="000240AC" w:rsidTr="00333A1C">
        <w:trPr>
          <w:trHeight w:val="487"/>
          <w:jc w:val="center"/>
        </w:trPr>
        <w:tc>
          <w:tcPr>
            <w:tcW w:w="540" w:type="dxa"/>
            <w:vMerge/>
          </w:tcPr>
          <w:p w:rsidR="00333A1C" w:rsidRPr="004A1FC8" w:rsidRDefault="00333A1C" w:rsidP="009654EC">
            <w:pPr>
              <w:spacing w:beforeLines="0" w:afterLines="0"/>
              <w:jc w:val="center"/>
              <w:rPr>
                <w:rFonts w:ascii="標楷體" w:eastAsia="標楷體" w:hAnsi="標楷體"/>
                <w:sz w:val="22"/>
              </w:rPr>
            </w:pPr>
          </w:p>
        </w:tc>
        <w:tc>
          <w:tcPr>
            <w:tcW w:w="2307" w:type="dxa"/>
            <w:vMerge/>
          </w:tcPr>
          <w:p w:rsidR="00333A1C" w:rsidRPr="004A1FC8" w:rsidRDefault="00333A1C" w:rsidP="009654EC">
            <w:pPr>
              <w:spacing w:beforeLines="0" w:afterLines="0"/>
              <w:jc w:val="center"/>
              <w:rPr>
                <w:rFonts w:ascii="標楷體" w:eastAsia="標楷體" w:hAnsi="標楷體"/>
                <w:sz w:val="22"/>
              </w:rPr>
            </w:pPr>
          </w:p>
        </w:tc>
        <w:tc>
          <w:tcPr>
            <w:tcW w:w="1701" w:type="dxa"/>
            <w:vMerge/>
          </w:tcPr>
          <w:p w:rsidR="00333A1C" w:rsidRPr="004A1FC8" w:rsidRDefault="00333A1C" w:rsidP="009654EC">
            <w:pPr>
              <w:spacing w:beforeLines="0" w:afterLines="0"/>
              <w:jc w:val="center"/>
              <w:rPr>
                <w:rFonts w:ascii="標楷體" w:eastAsia="標楷體" w:hAnsi="標楷體"/>
                <w:sz w:val="22"/>
              </w:rPr>
            </w:pPr>
          </w:p>
        </w:tc>
        <w:tc>
          <w:tcPr>
            <w:tcW w:w="567"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佳</w:t>
            </w:r>
          </w:p>
        </w:tc>
        <w:tc>
          <w:tcPr>
            <w:tcW w:w="567"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否</w:t>
            </w:r>
          </w:p>
        </w:tc>
        <w:tc>
          <w:tcPr>
            <w:tcW w:w="5103" w:type="dxa"/>
            <w:vAlign w:val="bottom"/>
          </w:tcPr>
          <w:p w:rsidR="00333A1C" w:rsidRPr="004A1FC8" w:rsidRDefault="00E83285" w:rsidP="009654EC">
            <w:pPr>
              <w:spacing w:beforeLines="0" w:afterLines="0"/>
              <w:ind w:firstLineChars="200" w:firstLine="440"/>
              <w:rPr>
                <w:rFonts w:ascii="標楷體" w:eastAsia="標楷體" w:hAnsi="標楷體"/>
                <w:sz w:val="22"/>
              </w:rPr>
            </w:pPr>
            <w:r>
              <w:rPr>
                <w:rFonts w:ascii="標楷體" w:eastAsia="標楷體" w:hAnsi="標楷體"/>
                <w:noProof/>
                <w:sz w:val="22"/>
              </w:rPr>
              <w:pict>
                <v:line id="_x0000_s2366" style="position:absolute;left:0;text-align:left;z-index:251592704;mso-position-horizontal-relative:text;mso-position-vertical-relative:text" from="82.3pt,7.2pt" to="91.3pt,16.2pt">
                  <v:stroke endarrow="block"/>
                </v:line>
              </w:pict>
            </w:r>
            <w:r>
              <w:rPr>
                <w:rFonts w:ascii="標楷體" w:eastAsia="標楷體" w:hAnsi="標楷體"/>
                <w:noProof/>
                <w:sz w:val="22"/>
              </w:rPr>
              <w:pict>
                <v:line id="_x0000_s2367" style="position:absolute;left:0;text-align:left;flip:y;z-index:251593728;mso-position-horizontal-relative:text;mso-position-vertical-relative:text" from="12.6pt,6.4pt" to="21.6pt,15.4pt">
                  <v:stroke endarrow="block"/>
                </v:line>
              </w:pict>
            </w:r>
            <w:r w:rsidR="00333A1C" w:rsidRPr="004A1FC8">
              <w:rPr>
                <w:rFonts w:ascii="標楷體" w:eastAsia="標楷體" w:hAnsi="標楷體" w:hint="eastAsia"/>
                <w:sz w:val="22"/>
              </w:rPr>
              <w:t>表比率高：   表比率低</w:t>
            </w:r>
          </w:p>
        </w:tc>
      </w:tr>
      <w:tr w:rsidR="00121103" w:rsidRPr="000240AC" w:rsidTr="00333A1C">
        <w:trPr>
          <w:trHeight w:val="499"/>
          <w:jc w:val="center"/>
        </w:trPr>
        <w:tc>
          <w:tcPr>
            <w:tcW w:w="540" w:type="dxa"/>
            <w:vMerge w:val="restart"/>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財務結構</w:t>
            </w:r>
          </w:p>
        </w:tc>
        <w:tc>
          <w:tcPr>
            <w:tcW w:w="2307" w:type="dxa"/>
            <w:vAlign w:val="center"/>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F1固定資產比率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固定資產</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68" style="position:absolute;left:0;text-align:left;z-index:251594752" from="4.3pt,1.9pt" to="58.3pt,1.9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69" style="position:absolute;z-index:251595776;mso-position-horizontal-relative:text;mso-position-vertical-relative:text" from="3.55pt,25.5pt" to="12.55pt,34.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0" style="position:absolute;flip:y;z-index:251596800;mso-position-horizontal-relative:text;mso-position-vertical-relative:text" from="3.6pt,25.5pt" to="12.6pt,34.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測度企業總資產中固定資產所占比例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本比率無一定標準，因行業特性而異。</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就資金運用觀點而言，本比率愈低愈佳。</w:t>
            </w:r>
          </w:p>
        </w:tc>
      </w:tr>
      <w:tr w:rsidR="00121103" w:rsidRPr="000240AC" w:rsidTr="00333A1C">
        <w:trPr>
          <w:trHeight w:val="639"/>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F2淨值比率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淨值</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71" style="position:absolute;left:0;text-align:left;z-index:251597824" from="10.45pt,-.35pt" to="64.45pt,-.35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2" style="position:absolute;flip:y;z-index:251598848;mso-position-horizontal-relative:text;mso-position-vertical-relative:text" from="3.6pt,14pt" to="12.6pt,23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3" style="position:absolute;z-index:251599872;mso-position-horizontal-relative:text;mso-position-vertical-relative:text" from="3.85pt,14pt" to="12.85pt,23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測度企業總資產中自有資本(金)所占比例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本比率無一定標準，因企業理財策略而定。</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就財務結構觀點而言，本比率愈高愈佳。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231" w:hangingChars="105" w:hanging="231"/>
              <w:rPr>
                <w:rFonts w:ascii="標楷體" w:eastAsia="標楷體" w:hAnsi="標楷體"/>
                <w:sz w:val="22"/>
              </w:rPr>
            </w:pPr>
            <w:r w:rsidRPr="004A1FC8">
              <w:rPr>
                <w:rFonts w:ascii="標楷體" w:eastAsia="標楷體" w:hAnsi="標楷體" w:hint="eastAsia"/>
                <w:sz w:val="22"/>
              </w:rPr>
              <w:t>F3銀行借款對淨值比率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銀行借款</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74" style="position:absolute;left:0;text-align:left;z-index:251600896" from="3.6pt,1.95pt" to="64.45pt,1.95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5" style="position:absolute;z-index:251601920;mso-position-horizontal-relative:text;mso-position-vertical-relative:text" from="4.2pt,10.5pt" to="13.2pt,19.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6" style="position:absolute;flip:y;z-index:251602944;mso-position-horizontal-relative:text;mso-position-vertical-relative:text" from="3.6pt,10.5pt" to="12.6pt,19.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測度企業向銀行籌借資金占自有資本之比例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本比率無一定標準，視企業理財策略而定。</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就銀行債權保障觀點而言，本比率愈低愈佳。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F4長期負債對淨值比率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長期負債</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77" style="position:absolute;left:0;text-align:left;z-index:251603968" from="3.6pt,.15pt" to="64.45pt,.15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8" style="position:absolute;z-index:251604992;mso-position-horizontal-relative:text;mso-position-vertical-relative:text" from="3.6pt,15.95pt" to="12.6pt,24.9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79" style="position:absolute;flip:y;z-index:251606016;mso-position-horizontal-relative:text;mso-position-vertical-relative:text" from="3.6pt,15.95pt" to="12.6pt,24.9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測度企業籌借長期負債占自有資本之比例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本比率無一定標準，視企業理財策略而定。</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就財務結構觀點而言，本比率愈低愈佳。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F5長期銀行借款</w:t>
            </w:r>
          </w:p>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對淨值比率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長期銀行借款</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80" style="position:absolute;left:0;text-align:left;z-index:251607040" from="3.6pt,.3pt" to="72.75pt,.3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1" style="position:absolute;z-index:251608064;mso-position-horizontal-relative:text;mso-position-vertical-relative:text" from="3.6pt,12.45pt" to="12.6pt,21.4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2" style="position:absolute;flip:y;z-index:251609088;mso-position-horizontal-relative:text;mso-position-vertical-relative:text" from="3.6pt,12.45pt" to="12.6pt,21.4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測度企業向銀行籌借長期資金占自有資本之比例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本比率無一定標準，視企業理財策略而定。</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就銀行債權保障觀點而言，本比率愈低愈佳。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1"/>
              <w:rPr>
                <w:rFonts w:ascii="標楷體" w:eastAsia="標楷體" w:hAnsi="標楷體"/>
                <w:sz w:val="22"/>
              </w:rPr>
            </w:pPr>
            <w:r w:rsidRPr="004A1FC8">
              <w:rPr>
                <w:rFonts w:ascii="標楷體" w:eastAsia="標楷體" w:hAnsi="標楷體" w:hint="eastAsia"/>
                <w:sz w:val="22"/>
              </w:rPr>
              <w:t>F6固定資產對淨值比率(固定比率)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固定資產</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83" style="position:absolute;left:0;text-align:left;z-index:251610112" from="3.6pt,.3pt" to="57.6pt,.3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4" style="position:absolute;z-index:251611136;mso-position-horizontal-relative:text;mso-position-vertical-relative:text" from="3.6pt,17.9pt" to="12.6pt,26.9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5" style="position:absolute;flip:y;z-index:251612160;mso-position-horizontal-relative:text;mso-position-vertical-relative:text" from="3.6pt,17.9pt" to="12.6pt,26.9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測度企業投入固定資產資金占自有資本之比例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本比率正常標準低於100%。</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就投資理財觀點而言，本比率愈低愈佳。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napToGrid w:val="0"/>
              <w:spacing w:beforeLines="0" w:afterLines="0"/>
              <w:ind w:left="1"/>
              <w:rPr>
                <w:rFonts w:ascii="標楷體" w:eastAsia="標楷體" w:hAnsi="標楷體"/>
                <w:sz w:val="22"/>
              </w:rPr>
            </w:pPr>
            <w:r w:rsidRPr="004A1FC8">
              <w:rPr>
                <w:rFonts w:ascii="標楷體" w:eastAsia="標楷體" w:hAnsi="標楷體" w:hint="eastAsia"/>
                <w:sz w:val="22"/>
              </w:rPr>
              <w:t>F7固定資產對長期資金比率(固定長期適合率)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固定資產</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86" style="position:absolute;left:0;text-align:left;z-index:251613184" from="4.05pt,2.7pt" to="72.75pt,2.7pt"/>
              </w:pict>
            </w:r>
            <w:r w:rsidR="00333A1C" w:rsidRPr="004A1FC8">
              <w:rPr>
                <w:rFonts w:ascii="標楷體" w:eastAsia="標楷體" w:hAnsi="標楷體" w:hint="eastAsia"/>
                <w:sz w:val="22"/>
              </w:rPr>
              <w:t>淨值+長期負債</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7" style="position:absolute;z-index:251614208;mso-position-horizontal-relative:text;mso-position-vertical-relative:text" from="3.6pt,23.4pt" to="12.6pt,32.4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88" style="position:absolute;flip:y;z-index:251615232;mso-position-horizontal-relative:text;mso-position-vertical-relative:text" from="3.6pt,23.4pt" to="12.6pt,32.4pt">
                  <v:stroke endarrow="block"/>
                </v:line>
              </w:pict>
            </w:r>
          </w:p>
        </w:tc>
        <w:tc>
          <w:tcPr>
            <w:tcW w:w="5103" w:type="dxa"/>
            <w:vAlign w:val="center"/>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測度企業投入固定資產資金占長期資本之比例</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本比率正常標準低於100%。</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就投資理財觀點而言，本比率愈低愈佳。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F8槓桿比率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負債總額</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89" style="position:absolute;left:0;text-align:left;z-index:251616256" from="10.45pt,-.25pt" to="64.45pt,-.25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0" style="position:absolute;z-index:251617280;mso-position-horizontal-relative:text;mso-position-vertical-relative:text" from="3.55pt,13.9pt" to="12.55pt,22.9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1" style="position:absolute;flip:y;z-index:251618304;mso-position-horizontal-relative:text;mso-position-vertical-relative:text" from="3.6pt,13.9pt" to="12.6pt,22.9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測度企業債權人被保障的程度</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就銀行債權保障觀點而言，本比率愈低愈佳。</w:t>
            </w:r>
          </w:p>
        </w:tc>
      </w:tr>
      <w:tr w:rsidR="00121103" w:rsidRPr="000240AC" w:rsidTr="00333A1C">
        <w:trPr>
          <w:jc w:val="center"/>
        </w:trPr>
        <w:tc>
          <w:tcPr>
            <w:tcW w:w="540" w:type="dxa"/>
            <w:vMerge w:val="restart"/>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償債能力</w:t>
            </w: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L1流動比率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流動資產</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94" style="position:absolute;left:0;text-align:left;z-index:251621376" from="10.45pt,1.35pt" to="64.45pt,1.35pt"/>
              </w:pict>
            </w:r>
            <w:r w:rsidR="00333A1C" w:rsidRPr="004A1FC8">
              <w:rPr>
                <w:rFonts w:ascii="標楷體" w:eastAsia="標楷體" w:hAnsi="標楷體" w:hint="eastAsia"/>
                <w:sz w:val="22"/>
              </w:rPr>
              <w:t>流動負債</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2" style="position:absolute;flip:y;z-index:251619328;mso-position-horizontal-relative:text;mso-position-vertical-relative:text" from="3.6pt,10.7pt" to="12.6pt,19.7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3" style="position:absolute;z-index:251620352;mso-position-horizontal-relative:text;mso-position-vertical-relative:text" from="3.6pt,10.35pt" to="12.6pt,19.3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測度企業短期償債能力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本比率正常標準為200%。</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就流動性觀點而言，本比率愈高愈佳。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L2</w:t>
            </w:r>
            <w:proofErr w:type="gramStart"/>
            <w:r w:rsidRPr="004A1FC8">
              <w:rPr>
                <w:rFonts w:ascii="標楷體" w:eastAsia="標楷體" w:hAnsi="標楷體" w:hint="eastAsia"/>
                <w:sz w:val="22"/>
              </w:rPr>
              <w:t>速動比率</w:t>
            </w:r>
            <w:proofErr w:type="gramEnd"/>
          </w:p>
        </w:tc>
        <w:tc>
          <w:tcPr>
            <w:tcW w:w="1701" w:type="dxa"/>
          </w:tcPr>
          <w:p w:rsidR="00333A1C" w:rsidRPr="004A1FC8" w:rsidRDefault="00333A1C" w:rsidP="009654EC">
            <w:pPr>
              <w:spacing w:beforeLines="0" w:afterLines="0"/>
              <w:jc w:val="center"/>
              <w:rPr>
                <w:rFonts w:ascii="標楷體" w:eastAsia="標楷體" w:hAnsi="標楷體"/>
                <w:sz w:val="22"/>
              </w:rPr>
            </w:pPr>
            <w:proofErr w:type="gramStart"/>
            <w:r w:rsidRPr="004A1FC8">
              <w:rPr>
                <w:rFonts w:ascii="標楷體" w:eastAsia="標楷體" w:hAnsi="標楷體" w:hint="eastAsia"/>
                <w:sz w:val="22"/>
              </w:rPr>
              <w:t>速動資產</w:t>
            </w:r>
            <w:proofErr w:type="gramEnd"/>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95" style="position:absolute;left:0;text-align:left;z-index:251622400" from="8.25pt,1.35pt" to="62.25pt,1.35pt"/>
              </w:pict>
            </w:r>
            <w:r w:rsidR="00333A1C" w:rsidRPr="004A1FC8">
              <w:rPr>
                <w:rFonts w:ascii="標楷體" w:eastAsia="標楷體" w:hAnsi="標楷體" w:hint="eastAsia"/>
                <w:sz w:val="22"/>
              </w:rPr>
              <w:t>流動負債</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6" style="position:absolute;flip:y;z-index:251623424;mso-position-horizontal-relative:text;mso-position-vertical-relative:text" from="3.6pt,15.85pt" to="12.6pt,24.8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7" style="position:absolute;z-index:251624448;mso-position-horizontal-relative:text;mso-position-vertical-relative:text" from="3.6pt,15.85pt" to="12.6pt,24.8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w:t>
            </w:r>
            <w:proofErr w:type="gramStart"/>
            <w:r w:rsidRPr="004A1FC8">
              <w:rPr>
                <w:rFonts w:ascii="標楷體" w:eastAsia="標楷體" w:hAnsi="標楷體" w:hint="eastAsia"/>
                <w:sz w:val="22"/>
              </w:rPr>
              <w:t>最短期間內之</w:t>
            </w:r>
            <w:proofErr w:type="gramEnd"/>
            <w:r w:rsidRPr="004A1FC8">
              <w:rPr>
                <w:rFonts w:ascii="標楷體" w:eastAsia="標楷體" w:hAnsi="標楷體" w:hint="eastAsia"/>
                <w:sz w:val="22"/>
              </w:rPr>
              <w:t>償債能力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本比率正常標準為100%。</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就流動性觀點而言，本比率愈高愈佳。</w:t>
            </w:r>
          </w:p>
        </w:tc>
      </w:tr>
      <w:tr w:rsidR="00121103"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1"/>
              <w:rPr>
                <w:rFonts w:ascii="標楷體" w:eastAsia="標楷體" w:hAnsi="標楷體"/>
                <w:sz w:val="22"/>
              </w:rPr>
            </w:pPr>
            <w:r w:rsidRPr="004A1FC8">
              <w:rPr>
                <w:rFonts w:ascii="標楷體" w:eastAsia="標楷體" w:hAnsi="標楷體" w:hint="eastAsia"/>
                <w:sz w:val="22"/>
              </w:rPr>
              <w:t>L3短期銀行借款對流動資產比率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短期銀行借款</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398" style="position:absolute;left:0;text-align:left;z-index:251625472" from="3.5pt,-.35pt" to="67.85pt,-.35pt"/>
              </w:pict>
            </w:r>
            <w:r w:rsidR="00333A1C" w:rsidRPr="004A1FC8">
              <w:rPr>
                <w:rFonts w:ascii="標楷體" w:eastAsia="標楷體" w:hAnsi="標楷體" w:hint="eastAsia"/>
                <w:sz w:val="22"/>
              </w:rPr>
              <w:t>流動資產</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399" style="position:absolute;z-index:251626496;mso-position-horizontal-relative:text;mso-position-vertical-relative:text" from="3.6pt,12.35pt" to="12.6pt,21.3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0" style="position:absolute;flip:y;z-index:251627520;mso-position-horizontal-relative:text;mso-position-vertical-relative:text" from="3.6pt,12.35pt" to="12.6pt,21.3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測度企業對短期銀行借款之償債能力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本比率正常標準低於50%。</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就銀行債權保障觀點而言，本比率愈低愈佳。</w:t>
            </w:r>
          </w:p>
        </w:tc>
      </w:tr>
      <w:tr w:rsidR="00121103" w:rsidRPr="000240AC" w:rsidTr="00333A1C">
        <w:trPr>
          <w:jc w:val="center"/>
        </w:trPr>
        <w:tc>
          <w:tcPr>
            <w:tcW w:w="540" w:type="dxa"/>
            <w:vMerge w:val="restart"/>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經營效能</w:t>
            </w: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E1應付款項週轉率</w:t>
            </w:r>
          </w:p>
        </w:tc>
        <w:tc>
          <w:tcPr>
            <w:tcW w:w="1701" w:type="dxa"/>
          </w:tcPr>
          <w:p w:rsidR="00333A1C" w:rsidRPr="004A1FC8" w:rsidRDefault="00333A1C" w:rsidP="009654EC">
            <w:pPr>
              <w:spacing w:beforeLines="0" w:afterLines="0"/>
              <w:jc w:val="center"/>
              <w:rPr>
                <w:rFonts w:ascii="標楷體" w:eastAsia="標楷體" w:hAnsi="標楷體"/>
                <w:sz w:val="22"/>
              </w:rPr>
            </w:pPr>
          </w:p>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營業成本</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01" style="position:absolute;left:0;text-align:left;z-index:251628544" from="3.6pt,0" to="57.6pt,0"/>
              </w:pict>
            </w:r>
            <w:r w:rsidR="00333A1C" w:rsidRPr="004A1FC8">
              <w:rPr>
                <w:rFonts w:ascii="標楷體" w:eastAsia="標楷體" w:hAnsi="標楷體" w:hint="eastAsia"/>
                <w:sz w:val="22"/>
              </w:rPr>
              <w:t>應付款項*</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2" style="position:absolute;z-index:251629568;mso-position-horizontal-relative:text;mso-position-vertical-relative:text" from="3.6pt,17.8pt" to="12.6pt,26.8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3" style="position:absolute;flip:y;z-index:251630592;mso-position-horizontal-relative:text;mso-position-vertical-relative:text" from="3.6pt,17.8pt" to="12.6pt,26.8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測度企業因營業行為需</w:t>
            </w:r>
            <w:proofErr w:type="gramStart"/>
            <w:r w:rsidRPr="004A1FC8">
              <w:rPr>
                <w:rFonts w:ascii="標楷體" w:eastAsia="標楷體" w:hAnsi="標楷體" w:hint="eastAsia"/>
                <w:sz w:val="22"/>
              </w:rPr>
              <w:t>付帳</w:t>
            </w:r>
            <w:proofErr w:type="gramEnd"/>
            <w:r w:rsidRPr="004A1FC8">
              <w:rPr>
                <w:rFonts w:ascii="標楷體" w:eastAsia="標楷體" w:hAnsi="標楷體" w:hint="eastAsia"/>
                <w:sz w:val="22"/>
              </w:rPr>
              <w:t>款週期之長短，本比率應配合應收帳款週轉率分析，若後者較長，表企業有週轉困難可能性，就資金週轉觀點而言，週轉次數愈低愈佳。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E2應收款項週轉率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營業收入</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04" style="position:absolute;left:0;text-align:left;z-index:251631616" from="3.6pt,1.6pt" to="57.6pt,1.6pt"/>
              </w:pict>
            </w:r>
            <w:r w:rsidR="00333A1C" w:rsidRPr="004A1FC8">
              <w:rPr>
                <w:rFonts w:ascii="標楷體" w:eastAsia="標楷體" w:hAnsi="標楷體" w:hint="eastAsia"/>
                <w:sz w:val="22"/>
              </w:rPr>
              <w:t>應收款項*</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5" style="position:absolute;flip:y;z-index:251632640;mso-position-horizontal-relative:text;mso-position-vertical-relative:text" from="3.6pt,10.3pt" to="12.6pt,19.3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6" style="position:absolute;z-index:251633664;mso-position-horizontal-relative:text;mso-position-vertical-relative:text" from="3.6pt,10.3pt" to="12.6pt,19.3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測度企業資金週轉及收帳能力之強弱</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9654EC"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lastRenderedPageBreak/>
              <w:t>就資金週轉觀點而言，週轉次數愈高愈佳。</w:t>
            </w:r>
          </w:p>
          <w:p w:rsidR="00EF613D" w:rsidRPr="004A1FC8" w:rsidRDefault="00EF613D" w:rsidP="009654EC">
            <w:pPr>
              <w:snapToGrid w:val="0"/>
              <w:spacing w:beforeLines="0" w:afterLines="0"/>
              <w:rPr>
                <w:rFonts w:ascii="標楷體" w:eastAsia="標楷體" w:hAnsi="標楷體"/>
                <w:sz w:val="22"/>
              </w:rPr>
            </w:pP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E3存貨週轉率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營業成本</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07" style="position:absolute;left:0;text-align:left;z-index:251634688" from="3.6pt,3.65pt" to="57.6pt,3.65pt"/>
              </w:pict>
            </w:r>
            <w:r w:rsidR="00333A1C" w:rsidRPr="004A1FC8">
              <w:rPr>
                <w:rFonts w:ascii="標楷體" w:eastAsia="標楷體" w:hAnsi="標楷體" w:hint="eastAsia"/>
                <w:sz w:val="22"/>
              </w:rPr>
              <w:t>存貨*</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8" style="position:absolute;flip:y;z-index:251635712;mso-position-horizontal-relative:text;mso-position-vertical-relative:text" from="3.6pt,16.55pt" to="12.6pt,25.5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09" style="position:absolute;z-index:251636736;mso-position-horizontal-relative:text;mso-position-vertical-relative:text" from="3.6pt,16.55pt" to="12.6pt,25.5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測度企業產銷效能、存貨週轉速度及存貨水準之適度性。本比率無一定標準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就資金運用觀點而言，週轉次數愈高愈佳。</w:t>
            </w:r>
          </w:p>
        </w:tc>
      </w:tr>
      <w:tr w:rsidR="003441D7" w:rsidRPr="000240AC" w:rsidTr="00333A1C">
        <w:trPr>
          <w:trHeight w:val="784"/>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E4固定資產週轉率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營業收入</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10" style="position:absolute;left:0;text-align:left;z-index:251637760" from="3.6pt,-.5pt" to="57.6pt,-.5pt"/>
              </w:pict>
            </w:r>
            <w:r w:rsidR="00333A1C" w:rsidRPr="004A1FC8">
              <w:rPr>
                <w:rFonts w:ascii="標楷體" w:eastAsia="標楷體" w:hAnsi="標楷體" w:hint="eastAsia"/>
                <w:sz w:val="22"/>
              </w:rPr>
              <w:t>固定資產</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1" style="position:absolute;flip:y;z-index:251638784;mso-position-horizontal-relative:text;mso-position-vertical-relative:text" from="3.6pt,18pt" to="12.6pt,27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2" style="position:absolute;z-index:251639808;mso-position-horizontal-relative:text;mso-position-vertical-relative:text" from="4.05pt,17.5pt" to="13.05pt,2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測度企業固定資產運用效能及固定資產投資之適度性。本比率無一定標準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就資金運用觀點而言，週轉次數愈高愈佳。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E5總資產週轉率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營業收入</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13" style="position:absolute;left:0;text-align:left;z-index:251640832" from="3.6pt,2.65pt" to="57.6pt,2.65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4" style="position:absolute;flip:y;z-index:251641856;mso-position-horizontal-relative:text;mso-position-vertical-relative:text" from="3.6pt,13.8pt" to="12.6pt,22.8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5" style="position:absolute;z-index:251642880;mso-position-horizontal-relative:text;mso-position-vertical-relative:text" from="3.6pt,13.8pt" to="12.6pt,22.8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測度企業總資產運用效能及總資產投資之適度性本比率無一定標準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就資金運用觀點而言，週轉次數愈高愈佳。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E6淨值週轉率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營業收入</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16" style="position:absolute;left:0;text-align:left;z-index:251643904" from="3.6pt,1.25pt" to="57.6pt,1.25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7" style="position:absolute;flip:y;z-index:251644928;mso-position-horizontal-relative:text;mso-position-vertical-relative:text" from="3.6pt,10.3pt" to="12.6pt,19.3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18" style="position:absolute;z-index:251645952;mso-position-horizontal-relative:text;mso-position-vertical-relative:text" from="3.6pt,10.3pt" to="12.6pt,19.3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測度企業自有資本運用效能及自有資本之適度性本比率無一定標準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就資金運用觀點而言，週轉次數愈高愈佳。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E7營運資金週轉率</w:t>
            </w:r>
          </w:p>
        </w:tc>
        <w:tc>
          <w:tcPr>
            <w:tcW w:w="1701" w:type="dxa"/>
          </w:tcPr>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19" style="position:absolute;left:0;text-align:left;z-index:251646976;mso-position-horizontal-relative:text;mso-position-vertical-relative:text" from="3.5pt,15.75pt" to="57.5pt,15.75pt"/>
              </w:pict>
            </w:r>
            <w:r w:rsidR="00333A1C" w:rsidRPr="004A1FC8">
              <w:rPr>
                <w:rFonts w:ascii="標楷體" w:eastAsia="標楷體" w:hAnsi="標楷體" w:hint="eastAsia"/>
                <w:sz w:val="22"/>
              </w:rPr>
              <w:t>營業收入</w:t>
            </w:r>
          </w:p>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營運資金淨額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0" style="position:absolute;flip:y;z-index:251648000;mso-position-horizontal-relative:text;mso-position-vertical-relative:text" from="3.6pt,15.75pt" to="12.6pt,24.7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1" style="position:absolute;z-index:251649024;mso-position-horizontal-relative:text;mso-position-vertical-relative:text" from="3.6pt,15.75pt" to="12.6pt,24.7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作為衡量企業營運資金運用效果</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就資金運用觀點而言，本比率愈高愈佳。</w:t>
            </w:r>
          </w:p>
        </w:tc>
      </w:tr>
      <w:tr w:rsidR="003441D7" w:rsidRPr="000240AC" w:rsidTr="00333A1C">
        <w:trPr>
          <w:jc w:val="center"/>
        </w:trPr>
        <w:tc>
          <w:tcPr>
            <w:tcW w:w="540" w:type="dxa"/>
            <w:vMerge w:val="restart"/>
          </w:tcPr>
          <w:p w:rsidR="00333A1C"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t>獲利能力</w:t>
            </w:r>
          </w:p>
          <w:p w:rsidR="00333A1C" w:rsidRPr="004A1FC8" w:rsidRDefault="00333A1C" w:rsidP="009654EC">
            <w:pPr>
              <w:spacing w:beforeLines="0" w:afterLines="0"/>
              <w:jc w:val="center"/>
              <w:rPr>
                <w:rFonts w:ascii="標楷體" w:eastAsia="標楷體" w:hAnsi="標楷體"/>
                <w:b/>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P1毛利率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營業毛利</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22" style="position:absolute;left:0;text-align:left;z-index:251650048" from="3.6pt,3.35pt" to="57.6pt,3.35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3" style="position:absolute;flip:y;z-index:251651072;mso-position-horizontal-relative:text;mso-position-vertical-relative:text" from="3.6pt,12.25pt" to="12.6pt,21.2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4" style="position:absolute;z-index:251652096;mso-position-horizontal-relative:text;mso-position-vertical-relative:text" from="3.6pt,12.25pt" to="12.6pt,21.2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測度企業產銷效能</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P2營業利益率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營業利益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27" style="position:absolute;left:0;text-align:left;z-index:251655168" from="3.6pt,.15pt" to="57.6pt,.15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5" style="position:absolute;flip:y;z-index:251653120;mso-position-horizontal-relative:text;mso-position-vertical-relative:text" from="3.6pt,18.15pt" to="12.6pt,27.1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6" style="position:absolute;z-index:251654144;mso-position-horizontal-relative:text;mso-position-vertical-relative:text" from="3.6pt,17.7pt" to="12.6pt,26.7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測度企業正常營業獲利能力及經營效能</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P3營業利益率</w:t>
            </w:r>
          </w:p>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(減利息費用)</w:t>
            </w:r>
          </w:p>
        </w:tc>
        <w:tc>
          <w:tcPr>
            <w:tcW w:w="1701" w:type="dxa"/>
          </w:tcPr>
          <w:p w:rsidR="00333A1C" w:rsidRPr="00B86896" w:rsidRDefault="00333A1C" w:rsidP="009654EC">
            <w:pPr>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營業利益-利息費用</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28" style="position:absolute;left:0;text-align:left;z-index:251656192" from="3.6pt,.25pt" to="57.6pt,.25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29" style="position:absolute;flip:y;z-index:251657216;mso-position-horizontal-relative:text;mso-position-vertical-relative:text" from="3.6pt,14.2pt" to="12.6pt,23.2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0" style="position:absolute;z-index:251658240;mso-position-horizontal-relative:text;mso-position-vertical-relative:text" from="3.6pt,14.2pt" to="12.6pt,23.2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測度企業在正常營業下，經減除利息支出後之獲利能力。本比率無一定標準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P4純益率(稅前)</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稅前損益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31" style="position:absolute;left:0;text-align:left;z-index:251659264" from="3.6pt,1.7pt" to="57.6pt,1.7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2" style="position:absolute;flip:y;z-index:251660288;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3" style="position:absolute;z-index:251661312;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w:t>
            </w:r>
            <w:proofErr w:type="gramStart"/>
            <w:r w:rsidRPr="004A1FC8">
              <w:rPr>
                <w:rFonts w:ascii="標楷體" w:eastAsia="標楷體" w:hAnsi="標楷體" w:hint="eastAsia"/>
                <w:sz w:val="22"/>
              </w:rPr>
              <w:t>當期稅前</w:t>
            </w:r>
            <w:proofErr w:type="gramEnd"/>
            <w:r w:rsidRPr="004A1FC8">
              <w:rPr>
                <w:rFonts w:ascii="標楷體" w:eastAsia="標楷體" w:hAnsi="標楷體" w:hint="eastAsia"/>
                <w:sz w:val="22"/>
              </w:rPr>
              <w:t>淨獲利能力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P5純益率(稅後)</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稅後損益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34" style="position:absolute;left:0;text-align:left;z-index:251662336" from="3.6pt,1.7pt" to="57.6pt,1.7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5" style="position:absolute;flip:y;z-index:251663360;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6" style="position:absolute;z-index:251664384;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測度企業當期稅後淨獲利能力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P6淨值報酬率(稅前)</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稅前損益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37" style="position:absolute;left:0;text-align:left;z-index:251665408" from="3.6pt,1.7pt" to="57.6pt,1.7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8" style="position:absolute;flip:y;z-index:251666432;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39" style="position:absolute;z-index:251667456;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測度企業自有資本之稅前獲利能力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P7淨值報酬率(稅後)</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稅後損益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40" style="position:absolute;left:0;text-align:left;z-index:251668480" from="3.6pt,.6pt" to="57.6pt,.6pt"/>
              </w:pict>
            </w:r>
            <w:r w:rsidR="00333A1C" w:rsidRPr="004A1FC8">
              <w:rPr>
                <w:rFonts w:ascii="標楷體" w:eastAsia="標楷體" w:hAnsi="標楷體" w:hint="eastAsia"/>
                <w:sz w:val="22"/>
              </w:rPr>
              <w:t>淨值</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1" style="position:absolute;flip:y;z-index:251669504;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2" style="position:absolute;z-index:251670528;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測度企業自有資本之稅後獲利能力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P8總資產報酬率</w:t>
            </w:r>
          </w:p>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(稅前、</w:t>
            </w:r>
            <w:proofErr w:type="gramStart"/>
            <w:r w:rsidRPr="004A1FC8">
              <w:rPr>
                <w:rFonts w:ascii="標楷體" w:eastAsia="標楷體" w:hAnsi="標楷體" w:hint="eastAsia"/>
                <w:sz w:val="22"/>
              </w:rPr>
              <w:t>未加回利息</w:t>
            </w:r>
            <w:proofErr w:type="gramEnd"/>
            <w:r w:rsidRPr="004A1FC8">
              <w:rPr>
                <w:rFonts w:ascii="標楷體" w:eastAsia="標楷體" w:hAnsi="標楷體" w:hint="eastAsia"/>
                <w:sz w:val="22"/>
              </w:rPr>
              <w:t>費用)</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稅前損益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43" style="position:absolute;left:0;text-align:left;z-index:251671552" from="3.6pt,1.7pt" to="57.6pt,1.7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4" style="position:absolute;flip:y;z-index:251672576;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5" style="position:absolute;z-index:251673600;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測度企業當期總資產之稅前獲利能力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P9總資產報酬率</w:t>
            </w:r>
          </w:p>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(稅後、</w:t>
            </w:r>
            <w:proofErr w:type="gramStart"/>
            <w:r w:rsidRPr="004A1FC8">
              <w:rPr>
                <w:rFonts w:ascii="標楷體" w:eastAsia="標楷體" w:hAnsi="標楷體" w:hint="eastAsia"/>
                <w:sz w:val="22"/>
              </w:rPr>
              <w:t>未加回利息</w:t>
            </w:r>
            <w:proofErr w:type="gramEnd"/>
            <w:r w:rsidRPr="004A1FC8">
              <w:rPr>
                <w:rFonts w:ascii="標楷體" w:eastAsia="標楷體" w:hAnsi="標楷體" w:hint="eastAsia"/>
                <w:sz w:val="22"/>
              </w:rPr>
              <w:t>費用)</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稅後損益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46" style="position:absolute;left:0;text-align:left;z-index:251674624" from="3.6pt,1.7pt" to="57.6pt,1.7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7" style="position:absolute;flip:y;z-index:251675648;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48" style="position:absolute;z-index:251676672;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測度企業當期總資產之稅後獲利能力</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本比率無一定標準</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P10資產報酬率</w:t>
            </w:r>
          </w:p>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(稅前、</w:t>
            </w:r>
            <w:proofErr w:type="gramStart"/>
            <w:r w:rsidRPr="004A1FC8">
              <w:rPr>
                <w:rFonts w:ascii="標楷體" w:eastAsia="標楷體" w:hAnsi="標楷體" w:hint="eastAsia"/>
                <w:sz w:val="22"/>
              </w:rPr>
              <w:t>加回利息</w:t>
            </w:r>
            <w:proofErr w:type="gramEnd"/>
            <w:r w:rsidRPr="004A1FC8">
              <w:rPr>
                <w:rFonts w:ascii="標楷體" w:eastAsia="標楷體" w:hAnsi="標楷體" w:hint="eastAsia"/>
                <w:sz w:val="22"/>
              </w:rPr>
              <w:t>費用)</w:t>
            </w:r>
          </w:p>
        </w:tc>
        <w:tc>
          <w:tcPr>
            <w:tcW w:w="1701" w:type="dxa"/>
          </w:tcPr>
          <w:p w:rsidR="00333A1C" w:rsidRPr="00B86896" w:rsidRDefault="00333A1C" w:rsidP="009654EC">
            <w:pPr>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稅前損益+利息費用</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49" style="position:absolute;left:0;text-align:left;z-index:251677696" from="3.6pt,1pt" to="57.6pt,1pt"/>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0" style="position:absolute;flip:y;z-index:251678720;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1" style="position:absolute;z-index:251679744;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proofErr w:type="gramStart"/>
            <w:r w:rsidRPr="004A1FC8">
              <w:rPr>
                <w:rFonts w:ascii="標楷體" w:eastAsia="標楷體" w:hAnsi="標楷體" w:hint="eastAsia"/>
                <w:sz w:val="22"/>
              </w:rPr>
              <w:t>加回利息</w:t>
            </w:r>
            <w:proofErr w:type="gramEnd"/>
            <w:r w:rsidRPr="004A1FC8">
              <w:rPr>
                <w:rFonts w:ascii="標楷體" w:eastAsia="標楷體" w:hAnsi="標楷體" w:hint="eastAsia"/>
                <w:sz w:val="22"/>
              </w:rPr>
              <w:t>費用所求得之總資產報酬率，較能反應企業投資報酬真正情況，亦可作為衡量企業舉債經營</w:t>
            </w:r>
            <w:r w:rsidRPr="004A1FC8">
              <w:rPr>
                <w:rFonts w:ascii="標楷體" w:eastAsia="標楷體" w:hAnsi="標楷體" w:hint="eastAsia"/>
                <w:sz w:val="22"/>
              </w:rPr>
              <w:lastRenderedPageBreak/>
              <w:t>是否有利</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P11資產報酬率</w:t>
            </w:r>
          </w:p>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(稅後、</w:t>
            </w:r>
            <w:proofErr w:type="gramStart"/>
            <w:r w:rsidRPr="004A1FC8">
              <w:rPr>
                <w:rFonts w:ascii="標楷體" w:eastAsia="標楷體" w:hAnsi="標楷體" w:hint="eastAsia"/>
                <w:sz w:val="22"/>
              </w:rPr>
              <w:t>加回利息</w:t>
            </w:r>
            <w:proofErr w:type="gramEnd"/>
            <w:r w:rsidRPr="004A1FC8">
              <w:rPr>
                <w:rFonts w:ascii="標楷體" w:eastAsia="標楷體" w:hAnsi="標楷體" w:hint="eastAsia"/>
                <w:sz w:val="22"/>
              </w:rPr>
              <w:t>費用)</w:t>
            </w:r>
          </w:p>
        </w:tc>
        <w:tc>
          <w:tcPr>
            <w:tcW w:w="1701" w:type="dxa"/>
          </w:tcPr>
          <w:p w:rsidR="00333A1C" w:rsidRPr="00B86896" w:rsidRDefault="00333A1C" w:rsidP="009654EC">
            <w:pPr>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稅後損益+利息費用</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52" style="position:absolute;left:0;text-align:left;z-index:251680768" from="3.6pt,0" to="57.6pt,0"/>
              </w:pict>
            </w:r>
            <w:r w:rsidR="00333A1C" w:rsidRPr="004A1FC8">
              <w:rPr>
                <w:rFonts w:ascii="標楷體" w:eastAsia="標楷體" w:hAnsi="標楷體" w:hint="eastAsia"/>
                <w:sz w:val="22"/>
              </w:rPr>
              <w:t>資產總額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3" style="position:absolute;flip:y;z-index:251681792;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4" style="position:absolute;z-index:251682816;mso-position-horizontal-relative:text;mso-position-vertical-relative:text" from="3.6pt,10.65pt" to="12.6pt,19.65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proofErr w:type="gramStart"/>
            <w:r w:rsidRPr="004A1FC8">
              <w:rPr>
                <w:rFonts w:ascii="標楷體" w:eastAsia="標楷體" w:hAnsi="標楷體" w:hint="eastAsia"/>
                <w:sz w:val="22"/>
              </w:rPr>
              <w:t>加回利息</w:t>
            </w:r>
            <w:proofErr w:type="gramEnd"/>
            <w:r w:rsidRPr="004A1FC8">
              <w:rPr>
                <w:rFonts w:ascii="標楷體" w:eastAsia="標楷體" w:hAnsi="標楷體" w:hint="eastAsia"/>
                <w:sz w:val="22"/>
              </w:rPr>
              <w:t>費用所求得之總資產報酬率，較能反應企業投資報酬真正情況，亦可作為衡量企業舉債經營是否有利</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就經營績效衡量觀點而言，本比率愈高愈佳。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P12折舊+折耗+攤銷對營業收入比率</w:t>
            </w:r>
          </w:p>
        </w:tc>
        <w:tc>
          <w:tcPr>
            <w:tcW w:w="1701" w:type="dxa"/>
          </w:tcPr>
          <w:p w:rsidR="00333A1C" w:rsidRPr="00B86896" w:rsidRDefault="00333A1C" w:rsidP="009654EC">
            <w:pPr>
              <w:spacing w:beforeLines="0" w:afterLines="0"/>
              <w:jc w:val="center"/>
              <w:rPr>
                <w:rFonts w:ascii="標楷體" w:eastAsia="標楷體" w:hAnsi="標楷體"/>
                <w:sz w:val="16"/>
                <w:szCs w:val="16"/>
              </w:rPr>
            </w:pPr>
            <w:r w:rsidRPr="00B86896">
              <w:rPr>
                <w:rFonts w:ascii="標楷體" w:eastAsia="標楷體" w:hAnsi="標楷體" w:hint="eastAsia"/>
                <w:sz w:val="16"/>
                <w:szCs w:val="16"/>
              </w:rPr>
              <w:t>折舊+折耗+攤銷</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55" style="position:absolute;left:0;text-align:left;z-index:251683840" from="3.55pt,1.5pt" to="57.55pt,1.5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6" style="position:absolute;z-index:251684864;mso-position-horizontal-relative:text;mso-position-vertical-relative:text" from="3.6pt,14.65pt" to="12.6pt,23.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7" style="position:absolute;flip:y;z-index:251685888;mso-position-horizontal-relative:text;mso-position-vertical-relative:text" from="3.6pt,14.7pt" to="12.6pt,23.7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計算折舊、折耗、</w:t>
            </w:r>
            <w:proofErr w:type="gramStart"/>
            <w:r w:rsidRPr="004A1FC8">
              <w:rPr>
                <w:rFonts w:ascii="標楷體" w:eastAsia="標楷體" w:hAnsi="標楷體" w:hint="eastAsia"/>
                <w:sz w:val="22"/>
              </w:rPr>
              <w:t>攤銷占營業</w:t>
            </w:r>
            <w:proofErr w:type="gramEnd"/>
            <w:r w:rsidRPr="004A1FC8">
              <w:rPr>
                <w:rFonts w:ascii="標楷體" w:eastAsia="標楷體" w:hAnsi="標楷體" w:hint="eastAsia"/>
                <w:sz w:val="22"/>
              </w:rPr>
              <w:t>收入之百分比</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藉以分析企業之費用</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就企業成本效用而言，本比率愈低愈佳。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1"/>
              <w:rPr>
                <w:rFonts w:ascii="標楷體" w:eastAsia="標楷體" w:hAnsi="標楷體"/>
                <w:sz w:val="22"/>
              </w:rPr>
            </w:pPr>
            <w:r w:rsidRPr="004A1FC8">
              <w:rPr>
                <w:rFonts w:ascii="標楷體" w:eastAsia="標楷體" w:hAnsi="標楷體" w:hint="eastAsia"/>
                <w:sz w:val="22"/>
              </w:rPr>
              <w:t>P13利息費用對營業收入比率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利息費用</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58" style="position:absolute;left:0;text-align:left;z-index:251686912" from="3.6pt,2.45pt" to="57.6pt,2.45pt"/>
              </w:pict>
            </w:r>
            <w:r w:rsidR="00333A1C" w:rsidRPr="004A1FC8">
              <w:rPr>
                <w:rFonts w:ascii="標楷體" w:eastAsia="標楷體" w:hAnsi="標楷體" w:hint="eastAsia"/>
                <w:sz w:val="22"/>
              </w:rPr>
              <w:t>營業收入</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59" style="position:absolute;z-index:251687936;mso-position-horizontal-relative:text;mso-position-vertical-relative:text" from="3.6pt,14.65pt" to="12.6pt,23.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0" style="position:absolute;flip:y;z-index:251688960;mso-position-horizontal-relative:text;mso-position-vertical-relative:text" from="3.6pt,14.7pt" to="12.6pt,23.7pt">
                  <v:stroke endarrow="block"/>
                </v:line>
              </w:pic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計算利息費用占營業收入之百分比</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藉以分析企業之費用</w:t>
            </w:r>
          </w:p>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就企業成本效用而言，本比率愈低愈佳。</w:t>
            </w:r>
          </w:p>
        </w:tc>
      </w:tr>
      <w:tr w:rsidR="003441D7" w:rsidRPr="000240AC" w:rsidTr="00333A1C">
        <w:trPr>
          <w:trHeight w:val="672"/>
          <w:jc w:val="center"/>
        </w:trPr>
        <w:tc>
          <w:tcPr>
            <w:tcW w:w="540" w:type="dxa"/>
            <w:vMerge w:val="restart"/>
          </w:tcPr>
          <w:p w:rsidR="00333A1C" w:rsidRDefault="00333A1C" w:rsidP="009654EC">
            <w:pPr>
              <w:spacing w:beforeLines="0" w:afterLines="0"/>
              <w:rPr>
                <w:rFonts w:ascii="標楷體" w:eastAsia="標楷體" w:hAnsi="標楷體"/>
                <w:b/>
                <w:sz w:val="22"/>
              </w:rPr>
            </w:pPr>
            <w:r w:rsidRPr="004A1FC8">
              <w:rPr>
                <w:rFonts w:ascii="標楷體" w:eastAsia="標楷體" w:hAnsi="標楷體" w:hint="eastAsia"/>
                <w:b/>
                <w:sz w:val="22"/>
              </w:rPr>
              <w:t>倍數分析</w:t>
            </w:r>
          </w:p>
          <w:p w:rsidR="00333A1C" w:rsidRPr="004A1FC8" w:rsidRDefault="00333A1C" w:rsidP="009654EC">
            <w:pPr>
              <w:spacing w:beforeLines="0" w:afterLines="0"/>
              <w:rPr>
                <w:rFonts w:ascii="標楷體" w:eastAsia="標楷體" w:hAnsi="標楷體"/>
                <w:b/>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T1利息保障倍數</w:t>
            </w:r>
          </w:p>
        </w:tc>
        <w:tc>
          <w:tcPr>
            <w:tcW w:w="1701" w:type="dxa"/>
          </w:tcPr>
          <w:p w:rsidR="00333A1C" w:rsidRPr="00B86896" w:rsidRDefault="00333A1C" w:rsidP="009654EC">
            <w:pPr>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稅前損益+利息費用</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61" style="position:absolute;left:0;text-align:left;z-index:251689984" from="3.6pt,-.5pt" to="57.6pt,-.5pt"/>
              </w:pict>
            </w:r>
            <w:r w:rsidR="00333A1C" w:rsidRPr="004A1FC8">
              <w:rPr>
                <w:rFonts w:ascii="標楷體" w:eastAsia="標楷體" w:hAnsi="標楷體" w:hint="eastAsia"/>
                <w:sz w:val="22"/>
              </w:rPr>
              <w:t>利息費用</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2" style="position:absolute;flip:y;z-index:251691008;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3" style="position:absolute;z-index:251692032;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表達企業以淨利支應利息的能力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T2利息保障倍數</w:t>
            </w:r>
          </w:p>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w:t>
            </w:r>
            <w:proofErr w:type="gramStart"/>
            <w:r w:rsidRPr="004A1FC8">
              <w:rPr>
                <w:rFonts w:ascii="標楷體" w:eastAsia="標楷體" w:hAnsi="標楷體" w:hint="eastAsia"/>
                <w:sz w:val="22"/>
              </w:rPr>
              <w:t>加回折舊</w:t>
            </w:r>
            <w:proofErr w:type="gramEnd"/>
            <w:r w:rsidRPr="004A1FC8">
              <w:rPr>
                <w:rFonts w:ascii="標楷體" w:eastAsia="標楷體" w:hAnsi="標楷體" w:hint="eastAsia"/>
                <w:sz w:val="22"/>
              </w:rPr>
              <w:t>、</w:t>
            </w:r>
            <w:proofErr w:type="gramStart"/>
            <w:r w:rsidRPr="004A1FC8">
              <w:rPr>
                <w:rFonts w:ascii="標楷體" w:eastAsia="標楷體" w:hAnsi="標楷體" w:hint="eastAsia"/>
                <w:sz w:val="22"/>
              </w:rPr>
              <w:t>折耗攤銷</w:t>
            </w:r>
            <w:proofErr w:type="gramEnd"/>
            <w:r w:rsidRPr="004A1FC8">
              <w:rPr>
                <w:rFonts w:ascii="標楷體" w:eastAsia="標楷體" w:hAnsi="標楷體" w:hint="eastAsia"/>
                <w:sz w:val="22"/>
              </w:rPr>
              <w:t>)</w:t>
            </w:r>
          </w:p>
        </w:tc>
        <w:tc>
          <w:tcPr>
            <w:tcW w:w="1701" w:type="dxa"/>
          </w:tcPr>
          <w:p w:rsidR="00333A1C" w:rsidRPr="00B86896" w:rsidRDefault="00333A1C" w:rsidP="009654EC">
            <w:pPr>
              <w:snapToGrid w:val="0"/>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稅前損益+利息費用+折舊、折耗、攤銷</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64" style="position:absolute;left:0;text-align:left;z-index:251693056" from="3.6pt,-.5pt" to="57.6pt,-.5pt"/>
              </w:pict>
            </w:r>
            <w:r w:rsidR="00333A1C" w:rsidRPr="004A1FC8">
              <w:rPr>
                <w:rFonts w:ascii="標楷體" w:eastAsia="標楷體" w:hAnsi="標楷體" w:hint="eastAsia"/>
                <w:sz w:val="22"/>
              </w:rPr>
              <w:t>利息費用</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5" style="position:absolute;flip:y;z-index:251694080;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6" style="position:absolute;z-index:251695104;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表達企業以淨利支應利息的能力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T3營業活動之淨現金流量對利息費用比率</w:t>
            </w:r>
          </w:p>
        </w:tc>
        <w:tc>
          <w:tcPr>
            <w:tcW w:w="1701" w:type="dxa"/>
            <w:vAlign w:val="center"/>
          </w:tcPr>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營業活動之淨現金流量</w:t>
            </w:r>
          </w:p>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67" style="position:absolute;left:0;text-align:left;z-index:251696128" from="4.35pt,.2pt" to="58.35pt,.2pt"/>
              </w:pict>
            </w:r>
            <w:r w:rsidR="00333A1C" w:rsidRPr="004A1FC8">
              <w:rPr>
                <w:rFonts w:ascii="標楷體" w:eastAsia="標楷體" w:hAnsi="標楷體" w:hint="eastAsia"/>
                <w:sz w:val="22"/>
              </w:rPr>
              <w:t>利息費用</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8" style="position:absolute;flip:y;z-index:251697152;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69" style="position:absolute;z-index:251698176;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表示企業以現金流量負荷利息的能力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就債權保障觀點而言，比值愈高，流動性愈強。</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1"/>
              <w:rPr>
                <w:rFonts w:ascii="標楷體" w:eastAsia="標楷體" w:hAnsi="標楷體"/>
                <w:sz w:val="22"/>
              </w:rPr>
            </w:pPr>
            <w:r w:rsidRPr="004A1FC8">
              <w:rPr>
                <w:rFonts w:ascii="標楷體" w:eastAsia="標楷體" w:hAnsi="標楷體" w:hint="eastAsia"/>
                <w:sz w:val="22"/>
              </w:rPr>
              <w:t>T4營業活動之淨現金流量對負債總額比率</w:t>
            </w:r>
          </w:p>
        </w:tc>
        <w:tc>
          <w:tcPr>
            <w:tcW w:w="1701" w:type="dxa"/>
            <w:vAlign w:val="center"/>
          </w:tcPr>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營業活動之淨現金流量</w:t>
            </w:r>
          </w:p>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70" style="position:absolute;left:0;text-align:left;z-index:251699200" from="3.95pt,.15pt" to="57.95pt,.15pt"/>
              </w:pict>
            </w:r>
            <w:r w:rsidR="00333A1C" w:rsidRPr="004A1FC8">
              <w:rPr>
                <w:rFonts w:ascii="標楷體" w:eastAsia="標楷體" w:hAnsi="標楷體" w:hint="eastAsia"/>
                <w:sz w:val="22"/>
              </w:rPr>
              <w:t>負債總額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1" style="position:absolute;flip:y;z-index:251700224;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2" style="position:absolute;z-index:251701248;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表示企業以現金流量負荷總債務的能力</w:t>
            </w:r>
          </w:p>
          <w:p w:rsidR="00333A1C"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就債權保障觀點而言，比值愈高，流動性愈強。</w:t>
            </w:r>
          </w:p>
          <w:p w:rsidR="00333A1C" w:rsidRDefault="00333A1C" w:rsidP="009654EC">
            <w:pPr>
              <w:snapToGrid w:val="0"/>
              <w:spacing w:beforeLines="0" w:afterLines="0"/>
              <w:jc w:val="both"/>
              <w:rPr>
                <w:rFonts w:ascii="標楷體" w:eastAsia="標楷體" w:hAnsi="標楷體"/>
                <w:sz w:val="22"/>
              </w:rPr>
            </w:pPr>
          </w:p>
          <w:p w:rsidR="00333A1C" w:rsidRPr="004A1FC8" w:rsidRDefault="00333A1C" w:rsidP="009654EC">
            <w:pPr>
              <w:snapToGrid w:val="0"/>
              <w:spacing w:beforeLines="0" w:afterLines="0"/>
              <w:jc w:val="both"/>
              <w:rPr>
                <w:rFonts w:ascii="標楷體" w:eastAsia="標楷體" w:hAnsi="標楷體"/>
                <w:sz w:val="22"/>
              </w:rPr>
            </w:pP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T5自由支配之淨現金流量對負債總額比率</w:t>
            </w:r>
          </w:p>
        </w:tc>
        <w:tc>
          <w:tcPr>
            <w:tcW w:w="1701" w:type="dxa"/>
            <w:vAlign w:val="center"/>
          </w:tcPr>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73" style="position:absolute;left:0;text-align:left;z-index:251702272;mso-position-horizontal-relative:text;mso-position-vertical-relative:text" from="8.4pt,26.7pt" to="62.4pt,26.7pt"/>
              </w:pict>
            </w:r>
            <w:r w:rsidR="00333A1C" w:rsidRPr="004A1FC8">
              <w:rPr>
                <w:rFonts w:ascii="標楷體" w:eastAsia="標楷體" w:hAnsi="標楷體" w:hint="eastAsia"/>
                <w:sz w:val="22"/>
              </w:rPr>
              <w:t>自由支配之淨現金流量</w:t>
            </w:r>
          </w:p>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負債總額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4" style="position:absolute;flip:y;z-index:251703296;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5" style="position:absolute;z-index:251704320;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表示企業以可自由支配現金流量負荷總債務的能力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就債權保障觀點而言，比值愈高，流動性愈強。</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T6營業活動之淨現金流量對短期銀行借款比率</w:t>
            </w:r>
          </w:p>
        </w:tc>
        <w:tc>
          <w:tcPr>
            <w:tcW w:w="1701" w:type="dxa"/>
            <w:vAlign w:val="center"/>
          </w:tcPr>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營業活動之淨現金流量</w:t>
            </w:r>
          </w:p>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76" style="position:absolute;left:0;text-align:left;z-index:251705344" from="8.4pt,-.1pt" to="62.4pt,-.1pt"/>
              </w:pict>
            </w:r>
            <w:r w:rsidR="00333A1C" w:rsidRPr="004A1FC8">
              <w:rPr>
                <w:rFonts w:ascii="標楷體" w:eastAsia="標楷體" w:hAnsi="標楷體" w:hint="eastAsia"/>
                <w:sz w:val="22"/>
              </w:rPr>
              <w:t>短期銀行借款</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7" style="position:absolute;flip:y;z-index:251706368;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78" style="position:absolute;z-index:251707392;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表示企業償付到期債務的能力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就債權保障觀點而言，比值愈高，流動性愈強。</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T7營業活動之淨現金流量對資本支出比率</w:t>
            </w:r>
          </w:p>
        </w:tc>
        <w:tc>
          <w:tcPr>
            <w:tcW w:w="1701" w:type="dxa"/>
          </w:tcPr>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79" style="position:absolute;left:0;text-align:left;z-index:251708416;mso-position-horizontal-relative:text;mso-position-vertical-relative:text" from="3.55pt,27.8pt" to="57.55pt,27.8pt"/>
              </w:pict>
            </w:r>
            <w:r w:rsidR="00333A1C" w:rsidRPr="004A1FC8">
              <w:rPr>
                <w:rFonts w:ascii="標楷體" w:eastAsia="標楷體" w:hAnsi="標楷體" w:hint="eastAsia"/>
                <w:sz w:val="22"/>
              </w:rPr>
              <w:t>營業活動之淨現金流量</w:t>
            </w:r>
          </w:p>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資本支出</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0" style="position:absolute;flip:y;z-index:251709440;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1" style="position:absolute;z-index:251710464;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表示企業以現金流量支應資本支出的能力</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就投資理財觀點而言，比值愈高，流動性愈強。</w:t>
            </w:r>
          </w:p>
          <w:p w:rsidR="00333A1C" w:rsidRPr="004A1FC8" w:rsidRDefault="00333A1C" w:rsidP="009654EC">
            <w:pPr>
              <w:snapToGrid w:val="0"/>
              <w:spacing w:beforeLines="0" w:afterLines="0"/>
              <w:jc w:val="both"/>
              <w:rPr>
                <w:rFonts w:ascii="標楷體" w:eastAsia="標楷體" w:hAnsi="標楷體"/>
                <w:sz w:val="22"/>
              </w:rPr>
            </w:pP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2"/>
              <w:jc w:val="both"/>
              <w:rPr>
                <w:rFonts w:ascii="標楷體" w:eastAsia="標楷體" w:hAnsi="標楷體"/>
                <w:sz w:val="22"/>
              </w:rPr>
            </w:pPr>
            <w:r w:rsidRPr="004A1FC8">
              <w:rPr>
                <w:rFonts w:ascii="標楷體" w:eastAsia="標楷體" w:hAnsi="標楷體" w:hint="eastAsia"/>
                <w:sz w:val="22"/>
              </w:rPr>
              <w:t>T8資本支出對折舊+折耗+攤銷比率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資本支出</w:t>
            </w:r>
          </w:p>
          <w:p w:rsidR="00333A1C" w:rsidRPr="00B86896" w:rsidRDefault="00E83285" w:rsidP="009654EC">
            <w:pPr>
              <w:spacing w:beforeLines="0" w:afterLines="0"/>
              <w:jc w:val="center"/>
              <w:rPr>
                <w:rFonts w:ascii="標楷體" w:eastAsia="標楷體" w:hAnsi="標楷體"/>
                <w:sz w:val="16"/>
                <w:szCs w:val="16"/>
              </w:rPr>
            </w:pPr>
            <w:r>
              <w:rPr>
                <w:rFonts w:ascii="標楷體" w:eastAsia="標楷體" w:hAnsi="標楷體"/>
                <w:noProof/>
                <w:sz w:val="16"/>
                <w:szCs w:val="16"/>
              </w:rPr>
              <w:pict>
                <v:line id="_x0000_s2482" style="position:absolute;left:0;text-align:left;z-index:251711488" from="3.6pt,1.1pt" to="57.6pt,1.1pt"/>
              </w:pict>
            </w:r>
            <w:r w:rsidR="00333A1C" w:rsidRPr="00B86896">
              <w:rPr>
                <w:rFonts w:ascii="標楷體" w:eastAsia="標楷體" w:hAnsi="標楷體" w:hint="eastAsia"/>
                <w:sz w:val="16"/>
                <w:szCs w:val="16"/>
              </w:rPr>
              <w:t>折舊+折耗+攤銷</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3" style="position:absolute;flip:y;z-index:251712512;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4" style="position:absolute;z-index:251713536;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瞭解企業資本支出與折舊、</w:t>
            </w:r>
            <w:proofErr w:type="gramStart"/>
            <w:r w:rsidRPr="004A1FC8">
              <w:rPr>
                <w:rFonts w:ascii="標楷體" w:eastAsia="標楷體" w:hAnsi="標楷體" w:hint="eastAsia"/>
                <w:sz w:val="22"/>
              </w:rPr>
              <w:t>折耗及攤</w:t>
            </w:r>
            <w:proofErr w:type="gramEnd"/>
            <w:r w:rsidRPr="004A1FC8">
              <w:rPr>
                <w:rFonts w:ascii="標楷體" w:eastAsia="標楷體" w:hAnsi="標楷體" w:hint="eastAsia"/>
                <w:sz w:val="22"/>
              </w:rPr>
              <w:t>銷之情況</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就企業投資觀點而言，比值愈高愈佳。</w:t>
            </w:r>
          </w:p>
        </w:tc>
      </w:tr>
      <w:tr w:rsidR="003441D7" w:rsidRPr="000240AC" w:rsidTr="00333A1C">
        <w:trPr>
          <w:jc w:val="center"/>
        </w:trPr>
        <w:tc>
          <w:tcPr>
            <w:tcW w:w="540" w:type="dxa"/>
            <w:vMerge w:val="restart"/>
          </w:tcPr>
          <w:p w:rsidR="00333A1C" w:rsidRPr="004A1FC8" w:rsidRDefault="00333A1C" w:rsidP="009654EC">
            <w:pPr>
              <w:spacing w:beforeLines="0" w:afterLines="0"/>
              <w:rPr>
                <w:rFonts w:ascii="標楷體" w:eastAsia="標楷體" w:hAnsi="標楷體"/>
                <w:b/>
                <w:sz w:val="22"/>
              </w:rPr>
            </w:pPr>
            <w:r w:rsidRPr="004A1FC8">
              <w:rPr>
                <w:rFonts w:ascii="標楷體" w:eastAsia="標楷體" w:hAnsi="標楷體" w:hint="eastAsia"/>
                <w:b/>
                <w:sz w:val="22"/>
              </w:rPr>
              <w:t>資產負債分析</w:t>
            </w:r>
          </w:p>
        </w:tc>
        <w:tc>
          <w:tcPr>
            <w:tcW w:w="2307" w:type="dxa"/>
          </w:tcPr>
          <w:p w:rsidR="00333A1C" w:rsidRPr="004A1FC8" w:rsidRDefault="00333A1C" w:rsidP="009654EC">
            <w:pPr>
              <w:spacing w:beforeLines="0" w:afterLines="0"/>
              <w:ind w:left="2"/>
              <w:rPr>
                <w:rFonts w:ascii="標楷體" w:eastAsia="標楷體" w:hAnsi="標楷體"/>
                <w:sz w:val="22"/>
              </w:rPr>
            </w:pPr>
            <w:r w:rsidRPr="004A1FC8">
              <w:rPr>
                <w:rFonts w:ascii="標楷體" w:eastAsia="標楷體" w:hAnsi="標楷體" w:hint="eastAsia"/>
                <w:sz w:val="22"/>
              </w:rPr>
              <w:t>B1折舊+</w:t>
            </w:r>
            <w:proofErr w:type="gramStart"/>
            <w:r w:rsidRPr="004A1FC8">
              <w:rPr>
                <w:rFonts w:ascii="標楷體" w:eastAsia="標楷體" w:hAnsi="標楷體" w:hint="eastAsia"/>
                <w:sz w:val="22"/>
              </w:rPr>
              <w:t>折耗對折舊</w:t>
            </w:r>
            <w:proofErr w:type="gramEnd"/>
            <w:r w:rsidRPr="004A1FC8">
              <w:rPr>
                <w:rFonts w:ascii="標楷體" w:eastAsia="標楷體" w:hAnsi="標楷體" w:hint="eastAsia"/>
                <w:sz w:val="22"/>
              </w:rPr>
              <w:t>資產毛額比率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折舊+折耗</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85" style="position:absolute;left:0;text-align:left;z-index:251714560" from="3.6pt,.25pt" to="57.6pt,.25pt"/>
              </w:pict>
            </w:r>
            <w:r w:rsidR="00333A1C" w:rsidRPr="004A1FC8">
              <w:rPr>
                <w:rFonts w:ascii="標楷體" w:eastAsia="標楷體" w:hAnsi="標楷體" w:hint="eastAsia"/>
                <w:sz w:val="22"/>
              </w:rPr>
              <w:t>折舊資產毛額</w:t>
            </w:r>
          </w:p>
        </w:tc>
        <w:tc>
          <w:tcPr>
            <w:tcW w:w="56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w:t>
            </w:r>
          </w:p>
        </w:tc>
        <w:tc>
          <w:tcPr>
            <w:tcW w:w="56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w:t>
            </w:r>
          </w:p>
        </w:tc>
        <w:tc>
          <w:tcPr>
            <w:tcW w:w="5103" w:type="dxa"/>
          </w:tcPr>
          <w:p w:rsidR="00333A1C" w:rsidRPr="004A1FC8" w:rsidRDefault="00333A1C" w:rsidP="009654EC">
            <w:pPr>
              <w:snapToGrid w:val="0"/>
              <w:spacing w:beforeLines="0" w:afterLines="0"/>
              <w:rPr>
                <w:rFonts w:ascii="標楷體" w:eastAsia="標楷體" w:hAnsi="標楷體"/>
                <w:sz w:val="22"/>
              </w:rPr>
            </w:pPr>
            <w:r w:rsidRPr="004A1FC8">
              <w:rPr>
                <w:rFonts w:ascii="標楷體" w:eastAsia="標楷體" w:hAnsi="標楷體" w:hint="eastAsia"/>
                <w:sz w:val="22"/>
              </w:rPr>
              <w:t>藉以瞭解企業所採用之綜合折舊率有無變動或所提折舊費用是否充足及有無以折舊為均衡各年度淨利之手段</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tcPr>
          <w:p w:rsidR="00333A1C" w:rsidRPr="004A1FC8" w:rsidRDefault="00333A1C" w:rsidP="009654EC">
            <w:pPr>
              <w:spacing w:beforeLines="0" w:afterLines="0"/>
              <w:ind w:left="1"/>
              <w:rPr>
                <w:rFonts w:ascii="標楷體" w:eastAsia="標楷體" w:hAnsi="標楷體"/>
                <w:sz w:val="22"/>
              </w:rPr>
            </w:pPr>
            <w:r w:rsidRPr="004A1FC8">
              <w:rPr>
                <w:rFonts w:ascii="標楷體" w:eastAsia="標楷體" w:hAnsi="標楷體" w:hint="eastAsia"/>
                <w:sz w:val="22"/>
              </w:rPr>
              <w:t>B2累計折舊對固定資產毛額比率</w:t>
            </w:r>
          </w:p>
        </w:tc>
        <w:tc>
          <w:tcPr>
            <w:tcW w:w="1701" w:type="dxa"/>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累計折舊</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86" style="position:absolute;left:0;text-align:left;z-index:251715584" from="3.6pt,.25pt" to="57.6pt,.25pt"/>
              </w:pict>
            </w:r>
            <w:r w:rsidR="00333A1C" w:rsidRPr="004A1FC8">
              <w:rPr>
                <w:rFonts w:ascii="標楷體" w:eastAsia="標楷體" w:hAnsi="標楷體" w:hint="eastAsia"/>
                <w:sz w:val="22"/>
              </w:rPr>
              <w:t>固定資產毛額</w:t>
            </w:r>
          </w:p>
        </w:tc>
        <w:tc>
          <w:tcPr>
            <w:tcW w:w="56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w:t>
            </w:r>
          </w:p>
        </w:tc>
        <w:tc>
          <w:tcPr>
            <w:tcW w:w="567" w:type="dxa"/>
          </w:tcPr>
          <w:p w:rsidR="00333A1C" w:rsidRPr="004A1FC8" w:rsidRDefault="00333A1C" w:rsidP="009654EC">
            <w:pPr>
              <w:spacing w:beforeLines="0" w:afterLines="0"/>
              <w:rPr>
                <w:rFonts w:ascii="標楷體" w:eastAsia="標楷體" w:hAnsi="標楷體"/>
                <w:sz w:val="22"/>
              </w:rPr>
            </w:pPr>
            <w:r w:rsidRPr="004A1FC8">
              <w:rPr>
                <w:rFonts w:ascii="標楷體" w:eastAsia="標楷體" w:hAnsi="標楷體" w:hint="eastAsia"/>
                <w:sz w:val="22"/>
              </w:rPr>
              <w:t>---</w: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瞭解企業以累計折舊占固定資產之比率</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藉以顯示企業固定資產使用概況</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B3資本支出對固定資產毛額比率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資本支出</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87" style="position:absolute;left:0;text-align:left;z-index:251716608" from="3.6pt,.25pt" to="57.6pt,.25pt"/>
              </w:pict>
            </w:r>
            <w:r w:rsidR="00333A1C" w:rsidRPr="004A1FC8">
              <w:rPr>
                <w:rFonts w:ascii="標楷體" w:eastAsia="標楷體" w:hAnsi="標楷體" w:hint="eastAsia"/>
                <w:sz w:val="22"/>
              </w:rPr>
              <w:t>固定資產毛額</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8" style="position:absolute;flip:y;z-index:251717632;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89" style="position:absolute;z-index:251718656;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藉以顯示企業之資本支出占固定資產毛額的比率</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就企業投資觀點而言，本比率愈高愈佳。</w:t>
            </w:r>
          </w:p>
        </w:tc>
      </w:tr>
      <w:tr w:rsidR="003441D7" w:rsidRPr="000240AC" w:rsidTr="00333A1C">
        <w:trPr>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ind w:left="1"/>
              <w:jc w:val="both"/>
              <w:rPr>
                <w:rFonts w:ascii="標楷體" w:eastAsia="標楷體" w:hAnsi="標楷體"/>
                <w:sz w:val="22"/>
              </w:rPr>
            </w:pPr>
            <w:r w:rsidRPr="004A1FC8">
              <w:rPr>
                <w:rFonts w:ascii="標楷體" w:eastAsia="標楷體" w:hAnsi="標楷體" w:hint="eastAsia"/>
                <w:sz w:val="22"/>
              </w:rPr>
              <w:t>B4資本支出對固定資產淨額比率</w:t>
            </w:r>
          </w:p>
        </w:tc>
        <w:tc>
          <w:tcPr>
            <w:tcW w:w="1701" w:type="dxa"/>
            <w:vAlign w:val="center"/>
          </w:tcPr>
          <w:p w:rsidR="00333A1C" w:rsidRPr="004A1FC8" w:rsidRDefault="00333A1C" w:rsidP="009654EC">
            <w:pPr>
              <w:spacing w:beforeLines="0" w:afterLines="0"/>
              <w:jc w:val="center"/>
              <w:rPr>
                <w:rFonts w:ascii="標楷體" w:eastAsia="標楷體" w:hAnsi="標楷體"/>
                <w:sz w:val="22"/>
              </w:rPr>
            </w:pPr>
            <w:r w:rsidRPr="004A1FC8">
              <w:rPr>
                <w:rFonts w:ascii="標楷體" w:eastAsia="標楷體" w:hAnsi="標楷體" w:hint="eastAsia"/>
                <w:sz w:val="22"/>
              </w:rPr>
              <w:t>資本支出</w:t>
            </w:r>
          </w:p>
          <w:p w:rsidR="00333A1C" w:rsidRPr="004A1FC8" w:rsidRDefault="00E83285" w:rsidP="009654EC">
            <w:pPr>
              <w:spacing w:beforeLines="0" w:afterLines="0"/>
              <w:jc w:val="center"/>
              <w:rPr>
                <w:rFonts w:ascii="標楷體" w:eastAsia="標楷體" w:hAnsi="標楷體"/>
                <w:sz w:val="22"/>
              </w:rPr>
            </w:pPr>
            <w:r>
              <w:rPr>
                <w:rFonts w:ascii="標楷體" w:eastAsia="標楷體" w:hAnsi="標楷體"/>
                <w:noProof/>
                <w:sz w:val="22"/>
              </w:rPr>
              <w:pict>
                <v:line id="_x0000_s2490" style="position:absolute;left:0;text-align:left;z-index:251719680" from="3.6pt,.25pt" to="57.6pt,.25pt"/>
              </w:pict>
            </w:r>
            <w:r w:rsidR="00333A1C" w:rsidRPr="004A1FC8">
              <w:rPr>
                <w:rFonts w:ascii="標楷體" w:eastAsia="標楷體" w:hAnsi="標楷體" w:hint="eastAsia"/>
                <w:sz w:val="22"/>
              </w:rPr>
              <w:t>固定資產淨額</w:t>
            </w:r>
          </w:p>
        </w:tc>
        <w:tc>
          <w:tcPr>
            <w:tcW w:w="567" w:type="dxa"/>
          </w:tcPr>
          <w:p w:rsidR="009654EC" w:rsidRDefault="009654EC" w:rsidP="009654EC">
            <w:pPr>
              <w:spacing w:beforeLines="0" w:afterLines="0"/>
              <w:rPr>
                <w:rFonts w:ascii="標楷體" w:eastAsia="標楷體" w:hAnsi="標楷體"/>
                <w:sz w:val="22"/>
              </w:rPr>
            </w:pPr>
          </w:p>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1" style="position:absolute;flip:y;z-index:251720704" from="3.6pt,10.65pt" to="12.6pt,19.65pt">
                  <v:stroke endarrow="block"/>
                </v:line>
              </w:pict>
            </w:r>
          </w:p>
        </w:tc>
        <w:tc>
          <w:tcPr>
            <w:tcW w:w="567" w:type="dxa"/>
          </w:tcPr>
          <w:p w:rsidR="009654EC" w:rsidRDefault="009654EC" w:rsidP="009654EC">
            <w:pPr>
              <w:spacing w:beforeLines="0" w:afterLines="0"/>
              <w:rPr>
                <w:rFonts w:ascii="標楷體" w:eastAsia="標楷體" w:hAnsi="標楷體"/>
                <w:sz w:val="22"/>
              </w:rPr>
            </w:pPr>
          </w:p>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2" style="position:absolute;z-index:251721728" from="3.6pt,10.65pt" to="12.6pt,19.65pt">
                  <v:stroke endarrow="block"/>
                </v:line>
              </w:pict>
            </w:r>
          </w:p>
        </w:tc>
        <w:tc>
          <w:tcPr>
            <w:tcW w:w="5103" w:type="dxa"/>
            <w:vAlign w:val="center"/>
          </w:tcPr>
          <w:p w:rsidR="009654EC" w:rsidRDefault="009654EC" w:rsidP="009654EC">
            <w:pPr>
              <w:snapToGrid w:val="0"/>
              <w:spacing w:beforeLines="0" w:afterLines="0"/>
              <w:jc w:val="both"/>
              <w:rPr>
                <w:rFonts w:ascii="標楷體" w:eastAsia="標楷體" w:hAnsi="標楷體"/>
                <w:sz w:val="22"/>
              </w:rPr>
            </w:pPr>
          </w:p>
          <w:p w:rsidR="009654EC" w:rsidRDefault="009654EC" w:rsidP="009654EC">
            <w:pPr>
              <w:snapToGrid w:val="0"/>
              <w:spacing w:beforeLines="0" w:afterLines="0"/>
              <w:jc w:val="both"/>
              <w:rPr>
                <w:rFonts w:ascii="標楷體" w:eastAsia="標楷體" w:hAnsi="標楷體"/>
                <w:sz w:val="22"/>
              </w:rPr>
            </w:pP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藉以顯示企業之資本支出占固定資產淨額的比率</w:t>
            </w:r>
          </w:p>
          <w:p w:rsidR="00333A1C"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lastRenderedPageBreak/>
              <w:t>就企業投資觀點而言，本比率愈高愈佳。</w:t>
            </w:r>
          </w:p>
          <w:p w:rsidR="009654EC" w:rsidRPr="004A1FC8" w:rsidRDefault="009654EC" w:rsidP="009654EC">
            <w:pPr>
              <w:snapToGrid w:val="0"/>
              <w:spacing w:beforeLines="0" w:afterLines="0"/>
              <w:jc w:val="both"/>
              <w:rPr>
                <w:rFonts w:ascii="標楷體" w:eastAsia="標楷體" w:hAnsi="標楷體"/>
                <w:sz w:val="22"/>
              </w:rPr>
            </w:pPr>
          </w:p>
        </w:tc>
      </w:tr>
      <w:tr w:rsidR="003441D7" w:rsidRPr="000240AC" w:rsidTr="00333A1C">
        <w:trPr>
          <w:jc w:val="center"/>
        </w:trPr>
        <w:tc>
          <w:tcPr>
            <w:tcW w:w="540" w:type="dxa"/>
            <w:vMerge w:val="restart"/>
          </w:tcPr>
          <w:p w:rsidR="00333A1C" w:rsidRPr="004A1FC8" w:rsidRDefault="00333A1C" w:rsidP="009654EC">
            <w:pPr>
              <w:spacing w:beforeLines="0" w:afterLines="0"/>
              <w:jc w:val="center"/>
              <w:rPr>
                <w:rFonts w:ascii="標楷體" w:eastAsia="標楷體" w:hAnsi="標楷體"/>
                <w:b/>
                <w:sz w:val="22"/>
              </w:rPr>
            </w:pPr>
            <w:r w:rsidRPr="004A1FC8">
              <w:rPr>
                <w:rFonts w:ascii="標楷體" w:eastAsia="標楷體" w:hAnsi="標楷體" w:hint="eastAsia"/>
                <w:b/>
                <w:sz w:val="22"/>
              </w:rPr>
              <w:lastRenderedPageBreak/>
              <w:t>現金流量分析</w:t>
            </w: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C1現金流量比率</w:t>
            </w:r>
          </w:p>
        </w:tc>
        <w:tc>
          <w:tcPr>
            <w:tcW w:w="1701" w:type="dxa"/>
          </w:tcPr>
          <w:p w:rsidR="00333A1C" w:rsidRPr="004A1FC8" w:rsidRDefault="00333A1C" w:rsidP="009654EC">
            <w:pPr>
              <w:snapToGrid w:val="0"/>
              <w:spacing w:beforeLines="0" w:afterLines="0"/>
              <w:jc w:val="center"/>
              <w:rPr>
                <w:rFonts w:ascii="標楷體" w:eastAsia="標楷體" w:hAnsi="標楷體"/>
                <w:sz w:val="22"/>
              </w:rPr>
            </w:pPr>
            <w:r w:rsidRPr="004A1FC8">
              <w:rPr>
                <w:rFonts w:ascii="標楷體" w:eastAsia="標楷體" w:hAnsi="標楷體" w:hint="eastAsia"/>
                <w:sz w:val="22"/>
              </w:rPr>
              <w:t>營業活動之淨現金流量</w:t>
            </w:r>
          </w:p>
          <w:p w:rsidR="00333A1C" w:rsidRPr="004A1FC8" w:rsidRDefault="00E83285" w:rsidP="009654EC">
            <w:pPr>
              <w:snapToGrid w:val="0"/>
              <w:spacing w:beforeLines="0" w:afterLines="0"/>
              <w:jc w:val="center"/>
              <w:rPr>
                <w:rFonts w:ascii="標楷體" w:eastAsia="標楷體" w:hAnsi="標楷體"/>
                <w:sz w:val="22"/>
              </w:rPr>
            </w:pPr>
            <w:r>
              <w:rPr>
                <w:rFonts w:ascii="標楷體" w:eastAsia="標楷體" w:hAnsi="標楷體"/>
                <w:noProof/>
                <w:sz w:val="22"/>
              </w:rPr>
              <w:pict>
                <v:line id="_x0000_s2493" style="position:absolute;left:0;text-align:left;z-index:251722752" from="3.6pt,-.8pt" to="57.6pt,-.8pt"/>
              </w:pict>
            </w:r>
            <w:r w:rsidR="00333A1C" w:rsidRPr="004A1FC8">
              <w:rPr>
                <w:rFonts w:ascii="標楷體" w:eastAsia="標楷體" w:hAnsi="標楷體" w:hint="eastAsia"/>
                <w:sz w:val="22"/>
              </w:rPr>
              <w:t>流動負債</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4" style="position:absolute;flip:y;z-index:251723776;mso-position-horizontal-relative:text;mso-position-vertical-relative:text" from="3.6pt,10.65pt" to="12.6pt,19.65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5" style="position:absolute;z-index:251724800;mso-position-horizontal-relative:text;mso-position-vertical-relative:text" from="3.6pt,10.65pt" to="12.6pt,19.65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作為衡量企業短期償債能力的指標</w:t>
            </w:r>
          </w:p>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就債權保障觀點而言，本比率愈高，能力愈強。</w:t>
            </w:r>
          </w:p>
        </w:tc>
      </w:tr>
      <w:tr w:rsidR="00121103" w:rsidRPr="000240AC" w:rsidTr="00333A1C">
        <w:trPr>
          <w:trHeight w:val="1064"/>
          <w:jc w:val="center"/>
        </w:trPr>
        <w:tc>
          <w:tcPr>
            <w:tcW w:w="540" w:type="dxa"/>
            <w:vMerge/>
          </w:tcPr>
          <w:p w:rsidR="00333A1C" w:rsidRPr="004A1FC8" w:rsidRDefault="00333A1C" w:rsidP="009654EC">
            <w:pPr>
              <w:spacing w:beforeLines="0" w:afterLines="0"/>
              <w:rPr>
                <w:rFonts w:ascii="標楷體" w:eastAsia="標楷體" w:hAnsi="標楷體"/>
                <w:sz w:val="22"/>
              </w:rPr>
            </w:pPr>
          </w:p>
        </w:tc>
        <w:tc>
          <w:tcPr>
            <w:tcW w:w="2307" w:type="dxa"/>
            <w:vAlign w:val="center"/>
          </w:tcPr>
          <w:p w:rsidR="00333A1C" w:rsidRPr="004A1FC8" w:rsidRDefault="00333A1C" w:rsidP="009654EC">
            <w:pPr>
              <w:spacing w:beforeLines="0" w:afterLines="0"/>
              <w:jc w:val="both"/>
              <w:rPr>
                <w:rFonts w:ascii="標楷體" w:eastAsia="標楷體" w:hAnsi="標楷體"/>
                <w:sz w:val="22"/>
              </w:rPr>
            </w:pPr>
            <w:r w:rsidRPr="004A1FC8">
              <w:rPr>
                <w:rFonts w:ascii="標楷體" w:eastAsia="標楷體" w:hAnsi="標楷體" w:hint="eastAsia"/>
                <w:sz w:val="22"/>
              </w:rPr>
              <w:t>C2現金再投資比率</w:t>
            </w:r>
          </w:p>
        </w:tc>
        <w:tc>
          <w:tcPr>
            <w:tcW w:w="1701" w:type="dxa"/>
            <w:vAlign w:val="bottom"/>
          </w:tcPr>
          <w:p w:rsidR="00333A1C" w:rsidRDefault="00333A1C" w:rsidP="009654EC">
            <w:pPr>
              <w:snapToGrid w:val="0"/>
              <w:spacing w:beforeLines="0" w:afterLines="0"/>
              <w:jc w:val="center"/>
              <w:rPr>
                <w:rFonts w:ascii="標楷體" w:eastAsia="標楷體" w:hAnsi="標楷體"/>
                <w:sz w:val="16"/>
                <w:szCs w:val="16"/>
              </w:rPr>
            </w:pPr>
          </w:p>
          <w:p w:rsidR="00333A1C" w:rsidRPr="00B86896" w:rsidRDefault="00333A1C" w:rsidP="009654EC">
            <w:pPr>
              <w:snapToGrid w:val="0"/>
              <w:spacing w:beforeLines="0" w:afterLines="0"/>
              <w:jc w:val="center"/>
              <w:rPr>
                <w:rFonts w:ascii="標楷體" w:eastAsia="標楷體" w:hAnsi="標楷體"/>
                <w:sz w:val="16"/>
                <w:szCs w:val="16"/>
              </w:rPr>
            </w:pPr>
            <w:r w:rsidRPr="00B86896">
              <w:rPr>
                <w:rFonts w:ascii="標楷體" w:eastAsia="標楷體" w:hAnsi="標楷體" w:hint="eastAsia"/>
                <w:sz w:val="16"/>
                <w:szCs w:val="16"/>
              </w:rPr>
              <w:t>營業活動之淨現金流量-現金股利</w:t>
            </w:r>
          </w:p>
          <w:p w:rsidR="00333A1C" w:rsidRPr="004A1FC8" w:rsidRDefault="00333A1C" w:rsidP="009654EC">
            <w:pPr>
              <w:snapToGrid w:val="0"/>
              <w:spacing w:beforeLines="0" w:afterLines="0"/>
              <w:jc w:val="center"/>
              <w:rPr>
                <w:rFonts w:ascii="標楷體" w:eastAsia="標楷體" w:hAnsi="標楷體"/>
                <w:sz w:val="22"/>
              </w:rPr>
            </w:pPr>
            <w:r w:rsidRPr="00B86896">
              <w:rPr>
                <w:rFonts w:ascii="標楷體" w:eastAsia="標楷體" w:hAnsi="標楷體" w:hint="eastAsia"/>
                <w:sz w:val="16"/>
                <w:szCs w:val="16"/>
              </w:rPr>
              <w:t>固定資產毛額</w:t>
            </w:r>
            <w:r w:rsidR="00E83285" w:rsidRPr="00E83285">
              <w:rPr>
                <w:rFonts w:ascii="標楷體" w:eastAsia="標楷體" w:hAnsi="標楷體"/>
                <w:noProof/>
                <w:sz w:val="16"/>
                <w:szCs w:val="16"/>
              </w:rPr>
              <w:pict>
                <v:line id="_x0000_s2496" style="position:absolute;left:0;text-align:left;z-index:251725824;mso-position-horizontal-relative:text;mso-position-vertical-relative:text" from="3.6pt,-.8pt" to="57.6pt,-.8pt"/>
              </w:pict>
            </w:r>
            <w:r w:rsidRPr="00B86896">
              <w:rPr>
                <w:rFonts w:ascii="標楷體" w:eastAsia="標楷體" w:hAnsi="標楷體" w:hint="eastAsia"/>
                <w:sz w:val="16"/>
                <w:szCs w:val="16"/>
              </w:rPr>
              <w:t>+長期投資+其他資產+營運資金</w: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7" style="position:absolute;flip:y;z-index:251726848;mso-position-horizontal-relative:text;mso-position-vertical-relative:text" from="3.6pt,21.7pt" to="12.6pt,30.7pt">
                  <v:stroke endarrow="block"/>
                </v:line>
              </w:pict>
            </w:r>
          </w:p>
        </w:tc>
        <w:tc>
          <w:tcPr>
            <w:tcW w:w="567" w:type="dxa"/>
          </w:tcPr>
          <w:p w:rsidR="00333A1C" w:rsidRPr="004A1FC8" w:rsidRDefault="00E83285" w:rsidP="009654EC">
            <w:pPr>
              <w:spacing w:beforeLines="0" w:afterLines="0"/>
              <w:rPr>
                <w:rFonts w:ascii="標楷體" w:eastAsia="標楷體" w:hAnsi="標楷體"/>
                <w:sz w:val="22"/>
              </w:rPr>
            </w:pPr>
            <w:r>
              <w:rPr>
                <w:rFonts w:ascii="標楷體" w:eastAsia="標楷體" w:hAnsi="標楷體"/>
                <w:noProof/>
                <w:sz w:val="22"/>
              </w:rPr>
              <w:pict>
                <v:line id="_x0000_s2498" style="position:absolute;z-index:251727872;mso-position-horizontal-relative:text;mso-position-vertical-relative:text" from="3.6pt,21.7pt" to="12.6pt,30.7pt">
                  <v:stroke endarrow="block"/>
                </v:line>
              </w:pict>
            </w:r>
          </w:p>
        </w:tc>
        <w:tc>
          <w:tcPr>
            <w:tcW w:w="5103" w:type="dxa"/>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用以測試營業活動之現金流量支付投資的比率</w:t>
            </w:r>
          </w:p>
          <w:p w:rsidR="00333A1C" w:rsidRPr="00B86896"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就企業投資觀點而言，本比率愈高愈佳。</w:t>
            </w:r>
          </w:p>
        </w:tc>
      </w:tr>
      <w:tr w:rsidR="00121103" w:rsidRPr="000240AC" w:rsidTr="00333A1C">
        <w:trPr>
          <w:trHeight w:val="448"/>
          <w:jc w:val="center"/>
        </w:trPr>
        <w:tc>
          <w:tcPr>
            <w:tcW w:w="10785" w:type="dxa"/>
            <w:gridSpan w:val="6"/>
            <w:vAlign w:val="center"/>
          </w:tcPr>
          <w:p w:rsidR="00333A1C" w:rsidRPr="004A1FC8" w:rsidRDefault="00333A1C" w:rsidP="009654EC">
            <w:pPr>
              <w:snapToGrid w:val="0"/>
              <w:spacing w:beforeLines="0" w:afterLines="0"/>
              <w:jc w:val="both"/>
              <w:rPr>
                <w:rFonts w:ascii="標楷體" w:eastAsia="標楷體" w:hAnsi="標楷體"/>
                <w:sz w:val="22"/>
              </w:rPr>
            </w:pPr>
            <w:r w:rsidRPr="004A1FC8">
              <w:rPr>
                <w:rFonts w:ascii="標楷體" w:eastAsia="標楷體" w:hAnsi="標楷體" w:hint="eastAsia"/>
                <w:sz w:val="22"/>
              </w:rPr>
              <w:t>有*者各項分母，係指平均值=(期初餘額+期末餘額)/2</w:t>
            </w:r>
          </w:p>
        </w:tc>
      </w:tr>
    </w:tbl>
    <w:p w:rsidR="00333A1C" w:rsidRDefault="00333A1C"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p w:rsidR="005D6D49" w:rsidRDefault="005D6D49" w:rsidP="006B6D0C">
      <w:pPr>
        <w:pStyle w:val="a3"/>
        <w:spacing w:beforeLines="0" w:afterLines="0"/>
        <w:ind w:leftChars="0" w:left="720"/>
        <w:rPr>
          <w:sz w:val="44"/>
          <w:szCs w:val="44"/>
        </w:rPr>
      </w:pPr>
    </w:p>
    <w:tbl>
      <w:tblPr>
        <w:tblW w:w="10638" w:type="dxa"/>
        <w:tblInd w:w="-1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338"/>
        <w:gridCol w:w="422"/>
        <w:gridCol w:w="338"/>
        <w:gridCol w:w="262"/>
        <w:gridCol w:w="338"/>
        <w:gridCol w:w="2602"/>
        <w:gridCol w:w="338"/>
        <w:gridCol w:w="5662"/>
        <w:gridCol w:w="338"/>
      </w:tblGrid>
      <w:tr w:rsidR="00121103" w:rsidRPr="005D6D49" w:rsidTr="004E2EA1">
        <w:trPr>
          <w:gridAfter w:val="1"/>
          <w:wAfter w:w="338" w:type="dxa"/>
          <w:trHeight w:val="537"/>
        </w:trPr>
        <w:tc>
          <w:tcPr>
            <w:tcW w:w="10300" w:type="dxa"/>
            <w:gridSpan w:val="8"/>
            <w:shd w:val="clear" w:color="auto" w:fill="auto"/>
            <w:vAlign w:val="center"/>
            <w:hideMark/>
          </w:tcPr>
          <w:p w:rsidR="005D6D49" w:rsidRPr="005D6D49" w:rsidRDefault="005D6D49" w:rsidP="00562F9F">
            <w:pPr>
              <w:pStyle w:val="1"/>
              <w:spacing w:beforeLines="0" w:afterLines="0" w:line="240" w:lineRule="auto"/>
              <w:jc w:val="center"/>
              <w:rPr>
                <w:rFonts w:ascii="標楷體" w:eastAsia="標楷體" w:hAnsi="標楷體" w:cs="新細明體"/>
                <w:b w:val="0"/>
                <w:bCs w:val="0"/>
                <w:color w:val="000000"/>
                <w:kern w:val="0"/>
                <w:sz w:val="36"/>
                <w:szCs w:val="36"/>
              </w:rPr>
            </w:pPr>
            <w:bookmarkStart w:id="23" w:name="_Toc429750459"/>
            <w:r w:rsidRPr="005D6D49">
              <w:rPr>
                <w:rFonts w:ascii="標楷體" w:eastAsia="標楷體" w:hAnsi="標楷體" w:cs="新細明體" w:hint="eastAsia"/>
                <w:color w:val="000000"/>
                <w:kern w:val="0"/>
                <w:sz w:val="36"/>
                <w:szCs w:val="36"/>
              </w:rPr>
              <w:lastRenderedPageBreak/>
              <w:t>IFRSs財務比率五十八項計算公式</w:t>
            </w:r>
            <w:bookmarkEnd w:id="23"/>
          </w:p>
        </w:tc>
      </w:tr>
      <w:tr w:rsidR="00121103" w:rsidRPr="005D6D49" w:rsidTr="004E2EA1">
        <w:trPr>
          <w:gridAfter w:val="1"/>
          <w:wAfter w:w="338" w:type="dxa"/>
          <w:trHeight w:val="435"/>
        </w:trPr>
        <w:tc>
          <w:tcPr>
            <w:tcW w:w="76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項目</w:t>
            </w:r>
          </w:p>
        </w:tc>
        <w:tc>
          <w:tcPr>
            <w:tcW w:w="60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 xml:space="preserve">　</w:t>
            </w:r>
          </w:p>
        </w:tc>
        <w:tc>
          <w:tcPr>
            <w:tcW w:w="294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比率名稱(IFRSs)</w:t>
            </w:r>
          </w:p>
        </w:tc>
        <w:tc>
          <w:tcPr>
            <w:tcW w:w="600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計算公式(IFRSs)</w:t>
            </w:r>
          </w:p>
        </w:tc>
      </w:tr>
      <w:tr w:rsidR="003441D7" w:rsidRPr="005D6D49" w:rsidTr="004E2EA1">
        <w:trPr>
          <w:gridAfter w:val="1"/>
          <w:wAfter w:w="338" w:type="dxa"/>
          <w:trHeight w:val="510"/>
        </w:trPr>
        <w:tc>
          <w:tcPr>
            <w:tcW w:w="760" w:type="dxa"/>
            <w:gridSpan w:val="2"/>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財務結構</w:t>
            </w: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F1</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不動產、廠房及設備淨額/資產總額</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F2</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權益合計/資產總額</w:t>
            </w:r>
          </w:p>
        </w:tc>
      </w:tr>
      <w:tr w:rsidR="003441D7" w:rsidRPr="005D6D49" w:rsidTr="004E2EA1">
        <w:trPr>
          <w:gridAfter w:val="1"/>
          <w:wAfter w:w="338" w:type="dxa"/>
          <w:trHeight w:val="825"/>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F3</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短期借款對權益比率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(短期借款+短期票</w:t>
            </w:r>
            <w:proofErr w:type="gramStart"/>
            <w:r w:rsidRPr="005D6D49">
              <w:rPr>
                <w:rFonts w:ascii="標楷體" w:eastAsia="標楷體" w:hAnsi="標楷體" w:cs="新細明體" w:hint="eastAsia"/>
                <w:kern w:val="0"/>
                <w:szCs w:val="24"/>
              </w:rPr>
              <w:t>券</w:t>
            </w:r>
            <w:proofErr w:type="gramEnd"/>
            <w:r w:rsidRPr="005D6D49">
              <w:rPr>
                <w:rFonts w:ascii="標楷體" w:eastAsia="標楷體" w:hAnsi="標楷體" w:cs="新細明體" w:hint="eastAsia"/>
                <w:kern w:val="0"/>
                <w:szCs w:val="24"/>
              </w:rPr>
              <w:t>+一年或</w:t>
            </w:r>
            <w:proofErr w:type="gramStart"/>
            <w:r w:rsidRPr="005D6D49">
              <w:rPr>
                <w:rFonts w:ascii="標楷體" w:eastAsia="標楷體" w:hAnsi="標楷體" w:cs="新細明體" w:hint="eastAsia"/>
                <w:kern w:val="0"/>
                <w:szCs w:val="24"/>
              </w:rPr>
              <w:t>一</w:t>
            </w:r>
            <w:proofErr w:type="gramEnd"/>
            <w:r w:rsidRPr="005D6D49">
              <w:rPr>
                <w:rFonts w:ascii="標楷體" w:eastAsia="標楷體" w:hAnsi="標楷體" w:cs="新細明體" w:hint="eastAsia"/>
                <w:kern w:val="0"/>
                <w:szCs w:val="24"/>
              </w:rPr>
              <w:t>營業週期內到期長期負債+特別股負債-流動)/權益合計</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F4</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長期負債對權益比率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非流動金融負債/權益合計</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F5</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長期借款對權益比率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(長期借款+應付公司債)/權益合計</w:t>
            </w:r>
          </w:p>
        </w:tc>
      </w:tr>
      <w:tr w:rsidR="003441D7" w:rsidRPr="005D6D49" w:rsidTr="004E2EA1">
        <w:trPr>
          <w:gridAfter w:val="1"/>
          <w:wAfter w:w="338" w:type="dxa"/>
          <w:trHeight w:val="705"/>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F6</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不動產、廠房及設備對權益比率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不動產、廠房及設備淨額/權益合計</w:t>
            </w:r>
          </w:p>
        </w:tc>
      </w:tr>
      <w:tr w:rsidR="003441D7" w:rsidRPr="005D6D49" w:rsidTr="004E2EA1">
        <w:trPr>
          <w:gridAfter w:val="1"/>
          <w:wAfter w:w="338" w:type="dxa"/>
          <w:trHeight w:val="114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F7</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不動產、廠房及設備與投資性不動產占長期資金比率(固定長期適合率)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(不動產、廠房及設備淨額+投資性不動產)/(權益合計+應付公司債+長期借款+應付租賃款-非流動+長期應付票據及款項-關係人+特別股負債)</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F8</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槓桿比率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負債合計/權益合計</w:t>
            </w:r>
          </w:p>
        </w:tc>
      </w:tr>
      <w:tr w:rsidR="003441D7" w:rsidRPr="005D6D49" w:rsidTr="004E2EA1">
        <w:trPr>
          <w:gridAfter w:val="1"/>
          <w:wAfter w:w="338" w:type="dxa"/>
          <w:trHeight w:val="105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F9</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固定長期適合率(加計長期投資)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(不動產、廠房及設備淨額+權益法之投資+投資性不動產)/(權益合計+應付公司債+長期借款+應付租賃款-非流動+長期應付票據及款項-關係人+特別股負債)</w:t>
            </w:r>
          </w:p>
        </w:tc>
      </w:tr>
      <w:tr w:rsidR="003441D7" w:rsidRPr="005D6D49" w:rsidTr="004E2EA1">
        <w:trPr>
          <w:gridAfter w:val="1"/>
          <w:wAfter w:w="338" w:type="dxa"/>
          <w:trHeight w:val="14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F10</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固定長期適合率(加計長期投資及金融資產-非流動)</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(金融資產-非流動+權益法之投資+不動產、廠房及設備淨額+投資性不動產)/(權益合計+應付公司債+長期借款+應付租賃款-非流動+長期應付票據及款項-關係人+特別股負債)</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F11</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投資性不動產比率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投資性不動產/資產總額</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F12</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投資性不動產對權益比率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投資性不動產/權益合計</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F13</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總資產成長率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(本年度資產總額-上年度資產總額)/上年度資產總額</w:t>
            </w:r>
          </w:p>
        </w:tc>
      </w:tr>
      <w:tr w:rsidR="003441D7" w:rsidRPr="005D6D49" w:rsidTr="004E2EA1">
        <w:trPr>
          <w:gridAfter w:val="1"/>
          <w:wAfter w:w="338" w:type="dxa"/>
          <w:trHeight w:val="510"/>
        </w:trPr>
        <w:tc>
          <w:tcPr>
            <w:tcW w:w="760" w:type="dxa"/>
            <w:gridSpan w:val="2"/>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償債能力</w:t>
            </w: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L1</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流動比率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流動資產/流動負債</w:t>
            </w:r>
          </w:p>
        </w:tc>
      </w:tr>
      <w:tr w:rsidR="003441D7" w:rsidRPr="005D6D49" w:rsidTr="004E2EA1">
        <w:trPr>
          <w:gridAfter w:val="1"/>
          <w:wAfter w:w="338" w:type="dxa"/>
          <w:trHeight w:val="825"/>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L2</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proofErr w:type="gramStart"/>
            <w:r w:rsidRPr="005D6D49">
              <w:rPr>
                <w:rFonts w:ascii="標楷體" w:eastAsia="標楷體" w:hAnsi="標楷體" w:cs="新細明體" w:hint="eastAsia"/>
                <w:kern w:val="0"/>
                <w:szCs w:val="24"/>
              </w:rPr>
              <w:t>速動比率</w:t>
            </w:r>
            <w:proofErr w:type="gramEnd"/>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(現金及約當現金+分類為流動之金融資產+應收票據+應收帳款+其他應收款+其他金融資產-流動)/流動負債</w:t>
            </w:r>
          </w:p>
        </w:tc>
      </w:tr>
      <w:tr w:rsidR="003441D7" w:rsidRPr="005D6D49" w:rsidTr="004E2EA1">
        <w:trPr>
          <w:gridAfter w:val="1"/>
          <w:wAfter w:w="338" w:type="dxa"/>
          <w:trHeight w:val="78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L3</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短期銀行借款對流動資產比率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(銀行短期借款+一年或</w:t>
            </w:r>
            <w:proofErr w:type="gramStart"/>
            <w:r w:rsidRPr="005D6D49">
              <w:rPr>
                <w:rFonts w:ascii="標楷體" w:eastAsia="標楷體" w:hAnsi="標楷體" w:cs="新細明體" w:hint="eastAsia"/>
                <w:kern w:val="0"/>
                <w:szCs w:val="24"/>
              </w:rPr>
              <w:t>一</w:t>
            </w:r>
            <w:proofErr w:type="gramEnd"/>
            <w:r w:rsidRPr="005D6D49">
              <w:rPr>
                <w:rFonts w:ascii="標楷體" w:eastAsia="標楷體" w:hAnsi="標楷體" w:cs="新細明體" w:hint="eastAsia"/>
                <w:kern w:val="0"/>
                <w:szCs w:val="24"/>
              </w:rPr>
              <w:t>營業週期內到期之銀行長期借款)/流動資產</w:t>
            </w:r>
          </w:p>
        </w:tc>
      </w:tr>
      <w:tr w:rsidR="003441D7" w:rsidRPr="005D6D49" w:rsidTr="004E2EA1">
        <w:trPr>
          <w:gridAfter w:val="1"/>
          <w:wAfter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L4</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短期涵蓋比率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proofErr w:type="gramStart"/>
            <w:r w:rsidRPr="005D6D49">
              <w:rPr>
                <w:rFonts w:ascii="標楷體" w:eastAsia="標楷體" w:hAnsi="標楷體" w:cs="新細明體" w:hint="eastAsia"/>
                <w:kern w:val="0"/>
                <w:szCs w:val="24"/>
              </w:rPr>
              <w:t>速動資產</w:t>
            </w:r>
            <w:proofErr w:type="gramEnd"/>
            <w:r w:rsidRPr="005D6D49">
              <w:rPr>
                <w:rFonts w:ascii="標楷體" w:eastAsia="標楷體" w:hAnsi="標楷體" w:cs="新細明體" w:hint="eastAsia"/>
                <w:kern w:val="0"/>
                <w:szCs w:val="24"/>
              </w:rPr>
              <w:t>/平均每日營業支出</w:t>
            </w:r>
          </w:p>
        </w:tc>
      </w:tr>
      <w:tr w:rsidR="003441D7" w:rsidRPr="005D6D49" w:rsidTr="004E2EA1">
        <w:trPr>
          <w:gridBefore w:val="1"/>
          <w:wBefore w:w="338" w:type="dxa"/>
          <w:trHeight w:val="720"/>
        </w:trPr>
        <w:tc>
          <w:tcPr>
            <w:tcW w:w="10300" w:type="dxa"/>
            <w:gridSpan w:val="8"/>
            <w:shd w:val="clear" w:color="auto" w:fill="auto"/>
            <w:vAlign w:val="center"/>
            <w:hideMark/>
          </w:tcPr>
          <w:p w:rsidR="005D6D49" w:rsidRPr="005D6D49" w:rsidRDefault="005D6D49" w:rsidP="00562F9F">
            <w:pPr>
              <w:widowControl/>
              <w:spacing w:beforeLines="0" w:afterLines="0"/>
              <w:jc w:val="center"/>
              <w:rPr>
                <w:rFonts w:ascii="標楷體" w:eastAsia="標楷體" w:hAnsi="標楷體" w:cs="新細明體"/>
                <w:b/>
                <w:bCs/>
                <w:color w:val="000000"/>
                <w:kern w:val="0"/>
                <w:sz w:val="36"/>
                <w:szCs w:val="36"/>
              </w:rPr>
            </w:pPr>
            <w:r w:rsidRPr="005D6D49">
              <w:rPr>
                <w:rFonts w:ascii="標楷體" w:eastAsia="標楷體" w:hAnsi="標楷體" w:cs="新細明體" w:hint="eastAsia"/>
                <w:b/>
                <w:bCs/>
                <w:color w:val="000000"/>
                <w:kern w:val="0"/>
                <w:sz w:val="36"/>
                <w:szCs w:val="36"/>
              </w:rPr>
              <w:lastRenderedPageBreak/>
              <w:t>IFRSs財務比率五十八項計算公式</w:t>
            </w:r>
          </w:p>
        </w:tc>
      </w:tr>
      <w:tr w:rsidR="003441D7" w:rsidRPr="005D6D49" w:rsidTr="004E2EA1">
        <w:trPr>
          <w:gridBefore w:val="1"/>
          <w:wBefore w:w="338" w:type="dxa"/>
          <w:trHeight w:val="435"/>
        </w:trPr>
        <w:tc>
          <w:tcPr>
            <w:tcW w:w="76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項目</w:t>
            </w:r>
          </w:p>
        </w:tc>
        <w:tc>
          <w:tcPr>
            <w:tcW w:w="60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 xml:space="preserve">　</w:t>
            </w:r>
          </w:p>
        </w:tc>
        <w:tc>
          <w:tcPr>
            <w:tcW w:w="294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比率名稱(IFRSs)</w:t>
            </w:r>
          </w:p>
        </w:tc>
        <w:tc>
          <w:tcPr>
            <w:tcW w:w="6000" w:type="dxa"/>
            <w:gridSpan w:val="2"/>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計算公式(IFRSs)</w:t>
            </w:r>
          </w:p>
        </w:tc>
      </w:tr>
      <w:tr w:rsidR="003441D7" w:rsidRPr="005D6D49" w:rsidTr="004E2EA1">
        <w:trPr>
          <w:gridBefore w:val="1"/>
          <w:wBefore w:w="338" w:type="dxa"/>
          <w:trHeight w:val="750"/>
        </w:trPr>
        <w:tc>
          <w:tcPr>
            <w:tcW w:w="760" w:type="dxa"/>
            <w:gridSpan w:val="2"/>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經營效能</w:t>
            </w: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E1</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應付款項週轉率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營業成本/【(本期應付票據及帳款+前期應付票據及帳款)/2】</w:t>
            </w:r>
          </w:p>
        </w:tc>
      </w:tr>
      <w:tr w:rsidR="003441D7" w:rsidRPr="005D6D49" w:rsidTr="004E2EA1">
        <w:trPr>
          <w:gridBefore w:val="1"/>
          <w:wBefore w:w="338" w:type="dxa"/>
          <w:trHeight w:val="75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E2</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應收款項週轉率(毛額)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營業收入/【(本期應收票據及帳款毛額+前期應收票據及帳款毛額)/2】</w:t>
            </w:r>
          </w:p>
        </w:tc>
      </w:tr>
      <w:tr w:rsidR="003441D7" w:rsidRPr="005D6D49" w:rsidTr="004E2EA1">
        <w:trPr>
          <w:gridBefore w:val="1"/>
          <w:wBefore w:w="338" w:type="dxa"/>
          <w:trHeight w:val="1035"/>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E3</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存貨週轉率(毛額)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(營業成本-營建工程成本)/【(本期存貨毛額+前期存貨毛額)/2】</w:t>
            </w:r>
          </w:p>
        </w:tc>
      </w:tr>
      <w:tr w:rsidR="003441D7" w:rsidRPr="005D6D49" w:rsidTr="004E2EA1">
        <w:trPr>
          <w:gridBefore w:val="1"/>
          <w:wBefore w:w="338" w:type="dxa"/>
          <w:trHeight w:val="69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E4</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應收款項週轉率(淨額)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營業收入/【(本期應收票據及帳款淨額+前期應收票據及帳款淨額)/2】</w:t>
            </w:r>
          </w:p>
        </w:tc>
      </w:tr>
      <w:tr w:rsidR="003441D7" w:rsidRPr="005D6D49" w:rsidTr="004E2EA1">
        <w:trPr>
          <w:gridBefore w:val="1"/>
          <w:wBefore w:w="338" w:type="dxa"/>
          <w:trHeight w:val="705"/>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E5</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存貨週轉率(淨額)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(營業成本-營建工程成本)/【(本期存貨淨額+前期存貨淨額)/2】</w:t>
            </w:r>
          </w:p>
        </w:tc>
      </w:tr>
      <w:tr w:rsidR="003441D7" w:rsidRPr="005D6D49" w:rsidTr="004E2EA1">
        <w:trPr>
          <w:gridBefore w:val="1"/>
          <w:wBefore w:w="338" w:type="dxa"/>
          <w:trHeight w:val="72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E6</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不動產、廠房及設備週轉率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營業收入/【(本期不動產、廠房及設備淨額+前期不動產、廠房及設備淨額)/2】</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E7</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總資產週轉率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營業收入/【(本期資產總額+前期資產總額)/2】</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E8</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權益週轉率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營業收入/【(本期權益合計+前期權益合計)/2】</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E9</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營運資金週轉率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營業收入/(流動資產-流動負債)</w:t>
            </w:r>
          </w:p>
        </w:tc>
      </w:tr>
      <w:tr w:rsidR="003441D7" w:rsidRPr="005D6D49" w:rsidTr="004E2EA1">
        <w:trPr>
          <w:gridBefore w:val="1"/>
          <w:wBefore w:w="338" w:type="dxa"/>
          <w:trHeight w:val="78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E10</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投資性不動產報酬率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(租金收入+公允價值調整損益)/【(投資性不動產+前期投資性不動產)/2】</w:t>
            </w:r>
          </w:p>
        </w:tc>
      </w:tr>
      <w:tr w:rsidR="003441D7" w:rsidRPr="005D6D49" w:rsidTr="004E2EA1">
        <w:trPr>
          <w:gridBefore w:val="1"/>
          <w:wBefore w:w="338" w:type="dxa"/>
          <w:trHeight w:val="510"/>
        </w:trPr>
        <w:tc>
          <w:tcPr>
            <w:tcW w:w="760" w:type="dxa"/>
            <w:gridSpan w:val="2"/>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獲利能力</w:t>
            </w: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毛利率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營業毛利/營業收入</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P2</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營業淨利率</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營業淨利/營業收入</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P3</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營業淨利率(減財務成本)</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(營業淨利-財務成本)/營業收入</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P4</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純益率(稅前)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稅前損益/營業收入</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P5</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純益率(稅後)</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本期淨利(稅後)/營業收入</w:t>
            </w:r>
          </w:p>
        </w:tc>
      </w:tr>
      <w:tr w:rsidR="003441D7"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P6</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權益報酬率(稅前)</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稅前損益/【(本期權益合計+前期權益合計)/2】</w:t>
            </w:r>
          </w:p>
        </w:tc>
      </w:tr>
      <w:tr w:rsidR="00121103" w:rsidRPr="005D6D49" w:rsidTr="004E2EA1">
        <w:trPr>
          <w:gridBefore w:val="1"/>
          <w:wBefore w:w="338" w:type="dxa"/>
          <w:trHeight w:val="5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P7</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權益報酬率(稅後)</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本期淨利(稅後)/【(本期權益合計+前期權益合計)/2】</w:t>
            </w:r>
          </w:p>
        </w:tc>
      </w:tr>
      <w:tr w:rsidR="00121103" w:rsidRPr="005D6D49" w:rsidTr="004E2EA1">
        <w:trPr>
          <w:gridBefore w:val="1"/>
          <w:wBefore w:w="338" w:type="dxa"/>
          <w:trHeight w:val="810"/>
        </w:trPr>
        <w:tc>
          <w:tcPr>
            <w:tcW w:w="760" w:type="dxa"/>
            <w:gridSpan w:val="2"/>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P8</w:t>
            </w:r>
          </w:p>
        </w:tc>
        <w:tc>
          <w:tcPr>
            <w:tcW w:w="294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總資產報酬率</w:t>
            </w:r>
            <w:r w:rsidRPr="005D6D49">
              <w:rPr>
                <w:rFonts w:ascii="標楷體" w:eastAsia="標楷體" w:hAnsi="標楷體" w:cs="新細明體" w:hint="eastAsia"/>
                <w:kern w:val="0"/>
                <w:szCs w:val="24"/>
              </w:rPr>
              <w:br/>
              <w:t>(稅前、</w:t>
            </w:r>
            <w:proofErr w:type="gramStart"/>
            <w:r w:rsidRPr="005D6D49">
              <w:rPr>
                <w:rFonts w:ascii="標楷體" w:eastAsia="標楷體" w:hAnsi="標楷體" w:cs="新細明體" w:hint="eastAsia"/>
                <w:kern w:val="0"/>
                <w:szCs w:val="24"/>
              </w:rPr>
              <w:t>未加回財務</w:t>
            </w:r>
            <w:proofErr w:type="gramEnd"/>
            <w:r w:rsidRPr="005D6D49">
              <w:rPr>
                <w:rFonts w:ascii="標楷體" w:eastAsia="標楷體" w:hAnsi="標楷體" w:cs="新細明體" w:hint="eastAsia"/>
                <w:kern w:val="0"/>
                <w:szCs w:val="24"/>
              </w:rPr>
              <w:t>成本)</w:t>
            </w:r>
          </w:p>
        </w:tc>
        <w:tc>
          <w:tcPr>
            <w:tcW w:w="6000" w:type="dxa"/>
            <w:gridSpan w:val="2"/>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稅前損益/【(本期資產總額+前期資產總額)/2】</w:t>
            </w:r>
          </w:p>
        </w:tc>
      </w:tr>
    </w:tbl>
    <w:p w:rsidR="005D6D49" w:rsidRDefault="005D6D49" w:rsidP="005D6D49">
      <w:pPr>
        <w:spacing w:before="180" w:after="180"/>
        <w:ind w:leftChars="-236" w:left="-566"/>
      </w:pPr>
    </w:p>
    <w:tbl>
      <w:tblPr>
        <w:tblW w:w="10300" w:type="dxa"/>
        <w:tblInd w:w="-1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760"/>
        <w:gridCol w:w="600"/>
        <w:gridCol w:w="2940"/>
        <w:gridCol w:w="6000"/>
      </w:tblGrid>
      <w:tr w:rsidR="003441D7" w:rsidRPr="005D6D49" w:rsidTr="003A484B">
        <w:trPr>
          <w:trHeight w:val="720"/>
        </w:trPr>
        <w:tc>
          <w:tcPr>
            <w:tcW w:w="10300" w:type="dxa"/>
            <w:gridSpan w:val="4"/>
            <w:shd w:val="clear" w:color="auto" w:fill="auto"/>
            <w:vAlign w:val="center"/>
            <w:hideMark/>
          </w:tcPr>
          <w:p w:rsidR="005D6D49" w:rsidRPr="005D6D49" w:rsidRDefault="005D6D49" w:rsidP="00562F9F">
            <w:pPr>
              <w:widowControl/>
              <w:spacing w:beforeLines="0" w:afterLines="0"/>
              <w:jc w:val="center"/>
              <w:rPr>
                <w:rFonts w:ascii="標楷體" w:eastAsia="標楷體" w:hAnsi="標楷體" w:cs="新細明體"/>
                <w:b/>
                <w:bCs/>
                <w:color w:val="000000"/>
                <w:kern w:val="0"/>
                <w:sz w:val="36"/>
                <w:szCs w:val="36"/>
              </w:rPr>
            </w:pPr>
            <w:r w:rsidRPr="005D6D49">
              <w:rPr>
                <w:rFonts w:ascii="標楷體" w:eastAsia="標楷體" w:hAnsi="標楷體" w:cs="新細明體" w:hint="eastAsia"/>
                <w:b/>
                <w:bCs/>
                <w:color w:val="000000"/>
                <w:kern w:val="0"/>
                <w:sz w:val="36"/>
                <w:szCs w:val="36"/>
              </w:rPr>
              <w:lastRenderedPageBreak/>
              <w:t>IFRSs財務比率五十八項計算公式</w:t>
            </w:r>
          </w:p>
        </w:tc>
      </w:tr>
      <w:tr w:rsidR="00121103" w:rsidRPr="005D6D49" w:rsidTr="003A484B">
        <w:trPr>
          <w:trHeight w:val="435"/>
        </w:trPr>
        <w:tc>
          <w:tcPr>
            <w:tcW w:w="76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項目</w:t>
            </w:r>
          </w:p>
        </w:tc>
        <w:tc>
          <w:tcPr>
            <w:tcW w:w="60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 xml:space="preserve">　</w:t>
            </w:r>
          </w:p>
        </w:tc>
        <w:tc>
          <w:tcPr>
            <w:tcW w:w="294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比率名稱(IFRSs)</w:t>
            </w:r>
          </w:p>
        </w:tc>
        <w:tc>
          <w:tcPr>
            <w:tcW w:w="600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計算公式(IFRSs)</w:t>
            </w:r>
          </w:p>
        </w:tc>
      </w:tr>
      <w:tr w:rsidR="003441D7" w:rsidRPr="005D6D49" w:rsidTr="003A484B">
        <w:trPr>
          <w:trHeight w:val="840"/>
        </w:trPr>
        <w:tc>
          <w:tcPr>
            <w:tcW w:w="760" w:type="dxa"/>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獲利能力</w:t>
            </w: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P9</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總資產報酬率</w:t>
            </w:r>
            <w:r w:rsidRPr="005D6D49">
              <w:rPr>
                <w:rFonts w:ascii="標楷體" w:eastAsia="標楷體" w:hAnsi="標楷體" w:cs="新細明體" w:hint="eastAsia"/>
                <w:kern w:val="0"/>
                <w:szCs w:val="24"/>
              </w:rPr>
              <w:br/>
              <w:t>(稅後、</w:t>
            </w:r>
            <w:proofErr w:type="gramStart"/>
            <w:r w:rsidRPr="005D6D49">
              <w:rPr>
                <w:rFonts w:ascii="標楷體" w:eastAsia="標楷體" w:hAnsi="標楷體" w:cs="新細明體" w:hint="eastAsia"/>
                <w:kern w:val="0"/>
                <w:szCs w:val="24"/>
              </w:rPr>
              <w:t>未加回財務</w:t>
            </w:r>
            <w:proofErr w:type="gramEnd"/>
            <w:r w:rsidRPr="005D6D49">
              <w:rPr>
                <w:rFonts w:ascii="標楷體" w:eastAsia="標楷體" w:hAnsi="標楷體" w:cs="新細明體" w:hint="eastAsia"/>
                <w:kern w:val="0"/>
                <w:szCs w:val="24"/>
              </w:rPr>
              <w:t>成本)</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本期淨利(稅後)/【(本期資產總額+前期資產總額)/2】</w:t>
            </w:r>
          </w:p>
        </w:tc>
      </w:tr>
      <w:tr w:rsidR="003441D7" w:rsidRPr="005D6D49" w:rsidTr="003A484B">
        <w:trPr>
          <w:trHeight w:val="73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P10</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資產報酬率</w:t>
            </w:r>
            <w:r w:rsidRPr="005D6D49">
              <w:rPr>
                <w:rFonts w:ascii="標楷體" w:eastAsia="標楷體" w:hAnsi="標楷體" w:cs="新細明體" w:hint="eastAsia"/>
                <w:kern w:val="0"/>
                <w:szCs w:val="24"/>
              </w:rPr>
              <w:br/>
              <w:t>(稅前、</w:t>
            </w:r>
            <w:proofErr w:type="gramStart"/>
            <w:r w:rsidRPr="005D6D49">
              <w:rPr>
                <w:rFonts w:ascii="標楷體" w:eastAsia="標楷體" w:hAnsi="標楷體" w:cs="新細明體" w:hint="eastAsia"/>
                <w:kern w:val="0"/>
                <w:szCs w:val="24"/>
              </w:rPr>
              <w:t>加回財務</w:t>
            </w:r>
            <w:proofErr w:type="gramEnd"/>
            <w:r w:rsidRPr="005D6D49">
              <w:rPr>
                <w:rFonts w:ascii="標楷體" w:eastAsia="標楷體" w:hAnsi="標楷體" w:cs="新細明體" w:hint="eastAsia"/>
                <w:kern w:val="0"/>
                <w:szCs w:val="24"/>
              </w:rPr>
              <w:t>成本)</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(稅前損益+財務成本)/【(本期資產總額+前期資產總額)/2】</w:t>
            </w:r>
          </w:p>
        </w:tc>
      </w:tr>
      <w:tr w:rsidR="003441D7" w:rsidRPr="005D6D49" w:rsidTr="003A484B">
        <w:trPr>
          <w:trHeight w:val="72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P11</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資產報酬率</w:t>
            </w:r>
            <w:r w:rsidRPr="005D6D49">
              <w:rPr>
                <w:rFonts w:ascii="標楷體" w:eastAsia="標楷體" w:hAnsi="標楷體" w:cs="新細明體" w:hint="eastAsia"/>
                <w:kern w:val="0"/>
                <w:szCs w:val="24"/>
              </w:rPr>
              <w:br/>
              <w:t>(稅後、</w:t>
            </w:r>
            <w:proofErr w:type="gramStart"/>
            <w:r w:rsidRPr="005D6D49">
              <w:rPr>
                <w:rFonts w:ascii="標楷體" w:eastAsia="標楷體" w:hAnsi="標楷體" w:cs="新細明體" w:hint="eastAsia"/>
                <w:kern w:val="0"/>
                <w:szCs w:val="24"/>
              </w:rPr>
              <w:t>加回財務</w:t>
            </w:r>
            <w:proofErr w:type="gramEnd"/>
            <w:r w:rsidRPr="005D6D49">
              <w:rPr>
                <w:rFonts w:ascii="標楷體" w:eastAsia="標楷體" w:hAnsi="標楷體" w:cs="新細明體" w:hint="eastAsia"/>
                <w:kern w:val="0"/>
                <w:szCs w:val="24"/>
              </w:rPr>
              <w:t>成本)</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[本期稅後淨利+財務成本*(1-17%)]/【(本期資產總額+前期資產總額)/2】</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P12</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折舊+攤銷對營業收入比率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(折舊、攤銷費用)/營業收入</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P13</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財務成本對營業收入比率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財務成本/營業收入</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P14</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營收成長率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(本年度營業收入-上年度營業收入)/上年度營業收入</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P15</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營業費用率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營業費用/營業收入</w:t>
            </w:r>
          </w:p>
        </w:tc>
      </w:tr>
      <w:tr w:rsidR="003441D7" w:rsidRPr="005D6D49" w:rsidTr="003A484B">
        <w:trPr>
          <w:trHeight w:val="510"/>
        </w:trPr>
        <w:tc>
          <w:tcPr>
            <w:tcW w:w="760" w:type="dxa"/>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倍數分析</w:t>
            </w: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T1</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利息保障倍數</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(稅前損益+財務成本)/財務成本</w:t>
            </w:r>
          </w:p>
        </w:tc>
      </w:tr>
      <w:tr w:rsidR="003441D7" w:rsidRPr="005D6D49" w:rsidTr="003A484B">
        <w:trPr>
          <w:trHeight w:val="70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T2</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利息保障倍數</w:t>
            </w:r>
            <w:r w:rsidRPr="005D6D49">
              <w:rPr>
                <w:rFonts w:ascii="標楷體" w:eastAsia="標楷體" w:hAnsi="標楷體" w:cs="新細明體" w:hint="eastAsia"/>
                <w:kern w:val="0"/>
                <w:szCs w:val="24"/>
              </w:rPr>
              <w:br/>
              <w:t>(</w:t>
            </w:r>
            <w:proofErr w:type="gramStart"/>
            <w:r w:rsidRPr="005D6D49">
              <w:rPr>
                <w:rFonts w:ascii="標楷體" w:eastAsia="標楷體" w:hAnsi="標楷體" w:cs="新細明體" w:hint="eastAsia"/>
                <w:kern w:val="0"/>
                <w:szCs w:val="24"/>
              </w:rPr>
              <w:t>加回折舊</w:t>
            </w:r>
            <w:proofErr w:type="gramEnd"/>
            <w:r w:rsidRPr="005D6D49">
              <w:rPr>
                <w:rFonts w:ascii="標楷體" w:eastAsia="標楷體" w:hAnsi="標楷體" w:cs="新細明體" w:hint="eastAsia"/>
                <w:kern w:val="0"/>
                <w:szCs w:val="24"/>
              </w:rPr>
              <w:t>、攤銷)</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(稅前損益+財務成本+折舊、攤銷費用)/財務成本</w:t>
            </w:r>
          </w:p>
        </w:tc>
      </w:tr>
      <w:tr w:rsidR="003441D7" w:rsidRPr="005D6D49" w:rsidTr="003A484B">
        <w:trPr>
          <w:trHeight w:val="100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T3</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營業活動之淨現金流量對財務成本比率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營業活動之淨現金流量/財務成本</w:t>
            </w:r>
          </w:p>
        </w:tc>
      </w:tr>
      <w:tr w:rsidR="003441D7" w:rsidRPr="005D6D49" w:rsidTr="003A484B">
        <w:trPr>
          <w:trHeight w:val="79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T4</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營業活動之淨現金流量對負債總額比率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營業活動之淨現金流量/負債總額</w:t>
            </w:r>
          </w:p>
        </w:tc>
      </w:tr>
      <w:tr w:rsidR="003441D7" w:rsidRPr="005D6D49" w:rsidTr="003A484B">
        <w:trPr>
          <w:trHeight w:val="67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T5</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自由支配之淨現金流量對負債總額比率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(營業活動之淨現金流量-資本支出-現金股利)/負債總額</w:t>
            </w:r>
          </w:p>
        </w:tc>
      </w:tr>
      <w:tr w:rsidR="003441D7" w:rsidRPr="005D6D49" w:rsidTr="003A484B">
        <w:trPr>
          <w:trHeight w:val="70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T6</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營業活動之淨現金流量對短期借款比率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營業活動之淨現金流量/(短期借款+應付短期票</w:t>
            </w:r>
            <w:proofErr w:type="gramStart"/>
            <w:r w:rsidRPr="005D6D49">
              <w:rPr>
                <w:rFonts w:ascii="標楷體" w:eastAsia="標楷體" w:hAnsi="標楷體" w:cs="新細明體" w:hint="eastAsia"/>
                <w:kern w:val="0"/>
                <w:szCs w:val="24"/>
              </w:rPr>
              <w:t>券</w:t>
            </w:r>
            <w:proofErr w:type="gramEnd"/>
            <w:r w:rsidRPr="005D6D49">
              <w:rPr>
                <w:rFonts w:ascii="標楷體" w:eastAsia="標楷體" w:hAnsi="標楷體" w:cs="新細明體" w:hint="eastAsia"/>
                <w:kern w:val="0"/>
                <w:szCs w:val="24"/>
              </w:rPr>
              <w:t>+一年或</w:t>
            </w:r>
            <w:proofErr w:type="gramStart"/>
            <w:r w:rsidRPr="005D6D49">
              <w:rPr>
                <w:rFonts w:ascii="標楷體" w:eastAsia="標楷體" w:hAnsi="標楷體" w:cs="新細明體" w:hint="eastAsia"/>
                <w:kern w:val="0"/>
                <w:szCs w:val="24"/>
              </w:rPr>
              <w:t>一</w:t>
            </w:r>
            <w:proofErr w:type="gramEnd"/>
            <w:r w:rsidRPr="005D6D49">
              <w:rPr>
                <w:rFonts w:ascii="標楷體" w:eastAsia="標楷體" w:hAnsi="標楷體" w:cs="新細明體" w:hint="eastAsia"/>
                <w:kern w:val="0"/>
                <w:szCs w:val="24"/>
              </w:rPr>
              <w:t>營業週期內到期長期負債+特別股負債-流動)</w:t>
            </w:r>
          </w:p>
        </w:tc>
      </w:tr>
      <w:tr w:rsidR="003441D7" w:rsidRPr="005D6D49" w:rsidTr="003A484B">
        <w:trPr>
          <w:trHeight w:val="75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T7</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營業活動之淨現金流量對資本支出比率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營業活動之淨現金流量/資本支出</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T8</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資本支出對折舊+攤銷比率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資本支出/(折舊、攤銷費用)</w:t>
            </w:r>
          </w:p>
        </w:tc>
      </w:tr>
      <w:tr w:rsidR="00121103" w:rsidRPr="005D6D49" w:rsidTr="003A484B">
        <w:trPr>
          <w:trHeight w:val="76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T9</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現金利息保障倍數</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(營業活動之淨現金流量+所得稅付現額+現金利息支出)/現金利息支出</w:t>
            </w:r>
          </w:p>
        </w:tc>
      </w:tr>
      <w:tr w:rsidR="003441D7" w:rsidRPr="005D6D49" w:rsidTr="003A484B">
        <w:trPr>
          <w:trHeight w:val="51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T10</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槓桿倍數</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總負債/EBITDA</w:t>
            </w:r>
          </w:p>
        </w:tc>
      </w:tr>
    </w:tbl>
    <w:p w:rsidR="005D6D49" w:rsidRDefault="005D6D49" w:rsidP="005D6D49">
      <w:pPr>
        <w:spacing w:before="180" w:after="180"/>
        <w:ind w:leftChars="-236" w:left="-566"/>
      </w:pPr>
    </w:p>
    <w:tbl>
      <w:tblPr>
        <w:tblW w:w="10300" w:type="dxa"/>
        <w:tblInd w:w="-1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760"/>
        <w:gridCol w:w="600"/>
        <w:gridCol w:w="2940"/>
        <w:gridCol w:w="6000"/>
      </w:tblGrid>
      <w:tr w:rsidR="00121103" w:rsidRPr="00744C46" w:rsidTr="003A484B">
        <w:trPr>
          <w:trHeight w:val="720"/>
        </w:trPr>
        <w:tc>
          <w:tcPr>
            <w:tcW w:w="10300" w:type="dxa"/>
            <w:gridSpan w:val="4"/>
            <w:shd w:val="clear" w:color="auto" w:fill="auto"/>
            <w:vAlign w:val="center"/>
            <w:hideMark/>
          </w:tcPr>
          <w:p w:rsidR="005D6D49" w:rsidRPr="005D6D49" w:rsidRDefault="005D6D49" w:rsidP="00562F9F">
            <w:pPr>
              <w:widowControl/>
              <w:spacing w:beforeLines="0" w:afterLines="0"/>
              <w:jc w:val="center"/>
              <w:rPr>
                <w:rFonts w:ascii="標楷體" w:eastAsia="標楷體" w:hAnsi="標楷體" w:cs="新細明體"/>
                <w:b/>
                <w:bCs/>
                <w:color w:val="000000"/>
                <w:kern w:val="0"/>
                <w:sz w:val="36"/>
                <w:szCs w:val="36"/>
              </w:rPr>
            </w:pPr>
            <w:r w:rsidRPr="005D6D49">
              <w:rPr>
                <w:rFonts w:ascii="標楷體" w:eastAsia="標楷體" w:hAnsi="標楷體" w:cs="新細明體" w:hint="eastAsia"/>
                <w:b/>
                <w:bCs/>
                <w:color w:val="000000"/>
                <w:kern w:val="0"/>
                <w:sz w:val="36"/>
                <w:szCs w:val="36"/>
              </w:rPr>
              <w:lastRenderedPageBreak/>
              <w:t>IFRSs財務比率五十八項計算公式</w:t>
            </w:r>
          </w:p>
        </w:tc>
      </w:tr>
      <w:tr w:rsidR="00121103" w:rsidRPr="00744C46" w:rsidTr="003A484B">
        <w:trPr>
          <w:trHeight w:val="435"/>
        </w:trPr>
        <w:tc>
          <w:tcPr>
            <w:tcW w:w="76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項目</w:t>
            </w:r>
          </w:p>
        </w:tc>
        <w:tc>
          <w:tcPr>
            <w:tcW w:w="60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 xml:space="preserve">　</w:t>
            </w:r>
          </w:p>
        </w:tc>
        <w:tc>
          <w:tcPr>
            <w:tcW w:w="294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比率名稱(IFRSs)</w:t>
            </w:r>
          </w:p>
        </w:tc>
        <w:tc>
          <w:tcPr>
            <w:tcW w:w="6000" w:type="dxa"/>
            <w:shd w:val="clear" w:color="000000" w:fill="FAC090"/>
            <w:vAlign w:val="center"/>
            <w:hideMark/>
          </w:tcPr>
          <w:p w:rsidR="005D6D49" w:rsidRPr="005D6D49" w:rsidRDefault="005D6D49" w:rsidP="00562F9F">
            <w:pPr>
              <w:widowControl/>
              <w:spacing w:beforeLines="0" w:afterLines="0"/>
              <w:jc w:val="center"/>
              <w:rPr>
                <w:rFonts w:ascii="標楷體" w:eastAsia="標楷體" w:hAnsi="標楷體" w:cs="新細明體"/>
                <w:kern w:val="0"/>
                <w:szCs w:val="24"/>
              </w:rPr>
            </w:pPr>
            <w:r w:rsidRPr="005D6D49">
              <w:rPr>
                <w:rFonts w:ascii="標楷體" w:eastAsia="標楷體" w:hAnsi="標楷體" w:cs="新細明體" w:hint="eastAsia"/>
                <w:kern w:val="0"/>
                <w:szCs w:val="24"/>
              </w:rPr>
              <w:t>計算公式(IFRSs)</w:t>
            </w:r>
          </w:p>
        </w:tc>
      </w:tr>
      <w:tr w:rsidR="00121103" w:rsidRPr="00744C46" w:rsidTr="003A484B">
        <w:trPr>
          <w:trHeight w:val="735"/>
        </w:trPr>
        <w:tc>
          <w:tcPr>
            <w:tcW w:w="760" w:type="dxa"/>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資產負債分析</w:t>
            </w: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B1</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w:t>
            </w:r>
            <w:proofErr w:type="gramStart"/>
            <w:r w:rsidRPr="005D6D49">
              <w:rPr>
                <w:rFonts w:ascii="標楷體" w:eastAsia="標楷體" w:hAnsi="標楷體" w:cs="新細明體" w:hint="eastAsia"/>
                <w:kern w:val="0"/>
                <w:szCs w:val="24"/>
              </w:rPr>
              <w:t>折耗對折舊</w:t>
            </w:r>
            <w:proofErr w:type="gramEnd"/>
            <w:r w:rsidRPr="005D6D49">
              <w:rPr>
                <w:rFonts w:ascii="標楷體" w:eastAsia="標楷體" w:hAnsi="標楷體" w:cs="新細明體" w:hint="eastAsia"/>
                <w:kern w:val="0"/>
                <w:szCs w:val="24"/>
              </w:rPr>
              <w:t>資產毛額比率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(折舊、攤銷費用)/(折舊及</w:t>
            </w:r>
            <w:proofErr w:type="gramStart"/>
            <w:r w:rsidRPr="005D6D49">
              <w:rPr>
                <w:rFonts w:ascii="標楷體" w:eastAsia="標楷體" w:hAnsi="標楷體" w:cs="新細明體" w:hint="eastAsia"/>
                <w:kern w:val="0"/>
                <w:szCs w:val="24"/>
              </w:rPr>
              <w:t>折耗性資產</w:t>
            </w:r>
            <w:proofErr w:type="gramEnd"/>
            <w:r w:rsidRPr="005D6D49">
              <w:rPr>
                <w:rFonts w:ascii="標楷體" w:eastAsia="標楷體" w:hAnsi="標楷體" w:cs="新細明體" w:hint="eastAsia"/>
                <w:kern w:val="0"/>
                <w:szCs w:val="24"/>
              </w:rPr>
              <w:t>+投資性不動產毛額)</w:t>
            </w:r>
          </w:p>
        </w:tc>
      </w:tr>
      <w:tr w:rsidR="00121103" w:rsidRPr="00744C46" w:rsidTr="003A484B">
        <w:trPr>
          <w:trHeight w:val="720"/>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B2</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累計折舊對折舊及</w:t>
            </w:r>
            <w:proofErr w:type="gramStart"/>
            <w:r w:rsidRPr="005D6D49">
              <w:rPr>
                <w:rFonts w:ascii="標楷體" w:eastAsia="標楷體" w:hAnsi="標楷體" w:cs="新細明體" w:hint="eastAsia"/>
                <w:kern w:val="0"/>
                <w:szCs w:val="24"/>
              </w:rPr>
              <w:t>折耗性資產</w:t>
            </w:r>
            <w:proofErr w:type="gramEnd"/>
            <w:r w:rsidRPr="005D6D49">
              <w:rPr>
                <w:rFonts w:ascii="標楷體" w:eastAsia="標楷體" w:hAnsi="標楷體" w:cs="新細明體" w:hint="eastAsia"/>
                <w:kern w:val="0"/>
                <w:szCs w:val="24"/>
              </w:rPr>
              <w:t>毛額比率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不動產、廠房及設備累計折舊/折舊及</w:t>
            </w:r>
            <w:proofErr w:type="gramStart"/>
            <w:r w:rsidRPr="005D6D49">
              <w:rPr>
                <w:rFonts w:ascii="標楷體" w:eastAsia="標楷體" w:hAnsi="標楷體" w:cs="新細明體" w:hint="eastAsia"/>
                <w:kern w:val="0"/>
                <w:szCs w:val="24"/>
              </w:rPr>
              <w:t>折耗性資產</w:t>
            </w:r>
            <w:proofErr w:type="gramEnd"/>
            <w:r w:rsidRPr="005D6D49">
              <w:rPr>
                <w:rFonts w:ascii="標楷體" w:eastAsia="標楷體" w:hAnsi="標楷體" w:cs="新細明體" w:hint="eastAsia"/>
                <w:kern w:val="0"/>
                <w:szCs w:val="24"/>
              </w:rPr>
              <w:t>毛額</w:t>
            </w:r>
          </w:p>
        </w:tc>
      </w:tr>
      <w:tr w:rsidR="00121103" w:rsidRPr="00744C46" w:rsidTr="003A484B">
        <w:trPr>
          <w:trHeight w:val="109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B3</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折舊性資本支出對不動產、廠房及設備毛額與投資性不動產毛額比率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折舊性資本支出(購買不動產、廠房及設備+購買投資性不動產)/(不動產、廠房及設備毛額+投資性不動產毛額)</w:t>
            </w:r>
          </w:p>
        </w:tc>
      </w:tr>
      <w:tr w:rsidR="00121103" w:rsidRPr="00744C46" w:rsidTr="003A484B">
        <w:trPr>
          <w:trHeight w:val="103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B4</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折舊性資本支出對不動產、廠房及設備淨額與投資性不動產淨額比率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折舊性資本支出(購買不動產、廠房及設備+購買投資性不動產)/(不動產、廠房及設備淨額+投資性不動產淨額)</w:t>
            </w:r>
          </w:p>
        </w:tc>
      </w:tr>
      <w:tr w:rsidR="00121103" w:rsidRPr="00744C46" w:rsidTr="003A484B">
        <w:trPr>
          <w:trHeight w:val="510"/>
        </w:trPr>
        <w:tc>
          <w:tcPr>
            <w:tcW w:w="760" w:type="dxa"/>
            <w:vMerge w:val="restart"/>
            <w:shd w:val="clear" w:color="auto" w:fill="auto"/>
            <w:textDirection w:val="tbRlV"/>
            <w:vAlign w:val="center"/>
            <w:hideMark/>
          </w:tcPr>
          <w:p w:rsidR="005D6D49" w:rsidRPr="005D6D49" w:rsidRDefault="005D6D49" w:rsidP="00562F9F">
            <w:pPr>
              <w:widowControl/>
              <w:spacing w:beforeLines="0" w:afterLines="0"/>
              <w:jc w:val="center"/>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現金流量分析</w:t>
            </w: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C1</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現金流量比率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營業活動之淨現金流量/流動負債</w:t>
            </w:r>
          </w:p>
        </w:tc>
      </w:tr>
      <w:tr w:rsidR="00121103" w:rsidRPr="00744C46" w:rsidTr="003A484B">
        <w:trPr>
          <w:trHeight w:val="1155"/>
        </w:trPr>
        <w:tc>
          <w:tcPr>
            <w:tcW w:w="760" w:type="dxa"/>
            <w:vMerge/>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p>
        </w:tc>
        <w:tc>
          <w:tcPr>
            <w:tcW w:w="6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color w:val="000000"/>
                <w:kern w:val="0"/>
                <w:szCs w:val="24"/>
              </w:rPr>
            </w:pPr>
            <w:r w:rsidRPr="005D6D49">
              <w:rPr>
                <w:rFonts w:ascii="標楷體" w:eastAsia="標楷體" w:hAnsi="標楷體" w:cs="新細明體" w:hint="eastAsia"/>
                <w:color w:val="000000"/>
                <w:kern w:val="0"/>
                <w:szCs w:val="24"/>
              </w:rPr>
              <w:t>C2</w:t>
            </w:r>
          </w:p>
        </w:tc>
        <w:tc>
          <w:tcPr>
            <w:tcW w:w="294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現金再投資比率</w:t>
            </w:r>
          </w:p>
        </w:tc>
        <w:tc>
          <w:tcPr>
            <w:tcW w:w="6000" w:type="dxa"/>
            <w:shd w:val="clear" w:color="auto" w:fill="auto"/>
            <w:vAlign w:val="center"/>
            <w:hideMark/>
          </w:tcPr>
          <w:p w:rsidR="005D6D49" w:rsidRPr="005D6D49" w:rsidRDefault="005D6D49" w:rsidP="00562F9F">
            <w:pPr>
              <w:widowControl/>
              <w:spacing w:beforeLines="0" w:afterLines="0"/>
              <w:rPr>
                <w:rFonts w:ascii="標楷體" w:eastAsia="標楷體" w:hAnsi="標楷體" w:cs="新細明體"/>
                <w:kern w:val="0"/>
                <w:szCs w:val="24"/>
              </w:rPr>
            </w:pPr>
            <w:r w:rsidRPr="005D6D49">
              <w:rPr>
                <w:rFonts w:ascii="標楷體" w:eastAsia="標楷體" w:hAnsi="標楷體" w:cs="新細明體" w:hint="eastAsia"/>
                <w:kern w:val="0"/>
                <w:szCs w:val="24"/>
              </w:rPr>
              <w:t>(營業活動之淨現金流量-現金股利)/(不動產、廠房及設備毛額+投資性不動產毛額+權益法之投資+其他非流動資產+流動資產-流動負債)</w:t>
            </w:r>
          </w:p>
        </w:tc>
      </w:tr>
    </w:tbl>
    <w:p w:rsidR="005D6D49" w:rsidRPr="00744C46" w:rsidRDefault="005D6D49" w:rsidP="005D6D49">
      <w:pPr>
        <w:spacing w:before="180" w:after="180"/>
        <w:ind w:leftChars="-236" w:left="-566"/>
      </w:pPr>
    </w:p>
    <w:p w:rsidR="005D6D49" w:rsidRPr="005D6D49" w:rsidRDefault="005D6D49" w:rsidP="006B6D0C">
      <w:pPr>
        <w:pStyle w:val="a3"/>
        <w:spacing w:beforeLines="0" w:afterLines="0"/>
        <w:ind w:leftChars="0" w:left="720"/>
        <w:rPr>
          <w:sz w:val="44"/>
          <w:szCs w:val="44"/>
        </w:rPr>
      </w:pPr>
    </w:p>
    <w:sectPr w:rsidR="005D6D49" w:rsidRPr="005D6D49" w:rsidSect="00EF613D">
      <w:footerReference w:type="default" r:id="rId40"/>
      <w:pgSz w:w="11906" w:h="16838"/>
      <w:pgMar w:top="1440" w:right="1800" w:bottom="1440" w:left="1800" w:header="851" w:footer="567"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616" w:rsidRDefault="00967616" w:rsidP="00CA1922">
      <w:pPr>
        <w:spacing w:before="120" w:after="120"/>
      </w:pPr>
      <w:r>
        <w:separator/>
      </w:r>
    </w:p>
  </w:endnote>
  <w:endnote w:type="continuationSeparator" w:id="0">
    <w:p w:rsidR="00967616" w:rsidRDefault="00967616" w:rsidP="00CA1922">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文鼎粗黑">
    <w:altName w:val="Arial Unicode MS"/>
    <w:charset w:val="88"/>
    <w:family w:val="modern"/>
    <w:pitch w:val="fixed"/>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8015E9">
    <w:pPr>
      <w:pStyle w:val="ac"/>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A866B3">
    <w:pPr>
      <w:pStyle w:val="ac"/>
      <w:spacing w:before="120" w:after="120"/>
      <w:jc w:val="center"/>
    </w:pPr>
  </w:p>
  <w:p w:rsidR="00562F9F" w:rsidRDefault="00562F9F" w:rsidP="008D410F">
    <w:pPr>
      <w:pStyle w:val="ac"/>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8015E9">
    <w:pPr>
      <w:pStyle w:val="ac"/>
      <w:spacing w:before="120" w:after="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8921"/>
      <w:docPartObj>
        <w:docPartGallery w:val="Page Numbers (Bottom of Page)"/>
        <w:docPartUnique/>
      </w:docPartObj>
    </w:sdtPr>
    <w:sdtContent>
      <w:p w:rsidR="00562F9F" w:rsidRDefault="00562F9F" w:rsidP="00A866B3">
        <w:pPr>
          <w:pStyle w:val="ac"/>
          <w:spacing w:before="120" w:after="120"/>
          <w:jc w:val="center"/>
        </w:pPr>
        <w:fldSimple w:instr=" PAGE   \* MERGEFORMAT ">
          <w:r w:rsidR="00802F70" w:rsidRPr="00802F70">
            <w:rPr>
              <w:noProof/>
              <w:lang w:val="zh-TW"/>
            </w:rPr>
            <w:t>1</w:t>
          </w:r>
        </w:fldSimple>
      </w:p>
    </w:sdtContent>
  </w:sdt>
  <w:p w:rsidR="00562F9F" w:rsidRDefault="00562F9F" w:rsidP="008D410F">
    <w:pPr>
      <w:pStyle w:val="ac"/>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616" w:rsidRDefault="00967616" w:rsidP="004E2EA1">
      <w:pPr>
        <w:spacing w:before="120" w:after="120"/>
      </w:pPr>
      <w:r>
        <w:separator/>
      </w:r>
    </w:p>
  </w:footnote>
  <w:footnote w:type="continuationSeparator" w:id="0">
    <w:p w:rsidR="00967616" w:rsidRDefault="00967616" w:rsidP="00CA1922">
      <w:pPr>
        <w:spacing w:before="120" w:after="120"/>
      </w:pPr>
      <w:r>
        <w:continuationSeparator/>
      </w:r>
    </w:p>
  </w:footnote>
  <w:footnote w:id="1">
    <w:p w:rsidR="00562F9F" w:rsidRPr="00795596" w:rsidRDefault="00562F9F" w:rsidP="0083226A">
      <w:pPr>
        <w:pStyle w:val="a5"/>
        <w:spacing w:beforeLines="0" w:afterLines="0"/>
        <w:rPr>
          <w:rFonts w:ascii="標楷體" w:eastAsia="標楷體" w:hAnsi="標楷體"/>
        </w:rPr>
      </w:pPr>
      <w:r w:rsidRPr="00795596">
        <w:rPr>
          <w:rFonts w:ascii="標楷體" w:eastAsia="標楷體" w:hAnsi="標楷體"/>
        </w:rPr>
        <w:footnoteRef/>
      </w:r>
      <w:r w:rsidRPr="00795596">
        <w:rPr>
          <w:rFonts w:ascii="標楷體" w:eastAsia="標楷體" w:hAnsi="標楷體"/>
        </w:rPr>
        <w:t xml:space="preserve"> </w:t>
      </w:r>
      <w:r w:rsidRPr="00795596">
        <w:rPr>
          <w:rFonts w:ascii="標楷體" w:eastAsia="標楷體" w:hAnsi="標楷體" w:hint="eastAsia"/>
        </w:rPr>
        <w:t>依「中華民國銀行公會會員徵信準則」第十八條第六項由簽證會計師提供。</w:t>
      </w:r>
    </w:p>
  </w:footnote>
  <w:footnote w:id="2">
    <w:p w:rsidR="00562F9F" w:rsidRDefault="00562F9F" w:rsidP="0083226A">
      <w:pPr>
        <w:pStyle w:val="a5"/>
        <w:spacing w:beforeLines="0" w:afterLines="0"/>
      </w:pPr>
      <w:r w:rsidRPr="00795596">
        <w:rPr>
          <w:rFonts w:ascii="標楷體" w:eastAsia="標楷體" w:hAnsi="標楷體"/>
        </w:rPr>
        <w:footnoteRef/>
      </w:r>
      <w:r w:rsidRPr="00795596">
        <w:rPr>
          <w:rFonts w:ascii="標楷體" w:eastAsia="標楷體" w:hAnsi="標楷體"/>
        </w:rPr>
        <w:t xml:space="preserve"> </w:t>
      </w:r>
      <w:r w:rsidRPr="00795596">
        <w:rPr>
          <w:rFonts w:ascii="標楷體" w:eastAsia="標楷體" w:hAnsi="標楷體" w:hint="eastAsia"/>
        </w:rPr>
        <w:t>依「</w:t>
      </w:r>
      <w:hyperlink r:id="rId1" w:history="1">
        <w:r w:rsidRPr="00795596">
          <w:rPr>
            <w:rFonts w:ascii="標楷體" w:eastAsia="標楷體" w:hAnsi="標楷體"/>
          </w:rPr>
          <w:t>銀行間徵信資料處理交換服務事業許可及管理辦法</w:t>
        </w:r>
      </w:hyperlink>
      <w:r w:rsidRPr="00795596">
        <w:rPr>
          <w:rFonts w:ascii="標楷體" w:eastAsia="標楷體" w:hAnsi="標楷體" w:hint="eastAsia"/>
        </w:rPr>
        <w:t>」第二十六條</w:t>
      </w:r>
      <w:r>
        <w:rPr>
          <w:rFonts w:ascii="標楷體" w:eastAsia="標楷體" w:hAnsi="標楷體" w:hint="eastAsia"/>
        </w:rPr>
        <w:t>蒐集</w:t>
      </w:r>
      <w:r w:rsidRPr="00795596">
        <w:rPr>
          <w:rFonts w:ascii="標楷體" w:eastAsia="標楷體" w:hAnsi="標楷體" w:hint="eastAsia"/>
        </w:rPr>
        <w:t>。</w:t>
      </w:r>
    </w:p>
  </w:footnote>
  <w:footnote w:id="3">
    <w:p w:rsidR="00562F9F" w:rsidRDefault="00562F9F" w:rsidP="008D410F">
      <w:pPr>
        <w:pStyle w:val="a5"/>
        <w:spacing w:before="180" w:after="180"/>
      </w:pPr>
      <w:r>
        <w:rPr>
          <w:rStyle w:val="a7"/>
        </w:rPr>
        <w:footnoteRef/>
      </w:r>
      <w:r>
        <w:rPr>
          <w:rFonts w:ascii="標楷體" w:eastAsia="標楷體" w:hAnsi="標楷體" w:cs="Times New Roman" w:hint="eastAsia"/>
        </w:rPr>
        <w:t>在ROC GAAP下，</w:t>
      </w:r>
      <w:r w:rsidRPr="00717D5C">
        <w:rPr>
          <w:rFonts w:ascii="標楷體" w:eastAsia="標楷體" w:hAnsi="標楷體" w:cs="Times New Roman" w:hint="eastAsia"/>
        </w:rPr>
        <w:t>配合財務會計準則公報第三十五號「資產減損之會計處理準則」</w:t>
      </w:r>
      <w:r>
        <w:rPr>
          <w:rFonts w:ascii="標楷體" w:eastAsia="標楷體" w:hAnsi="標楷體" w:hint="eastAsia"/>
        </w:rPr>
        <w:t>、</w:t>
      </w:r>
      <w:r w:rsidRPr="00717D5C">
        <w:rPr>
          <w:rFonts w:ascii="標楷體" w:eastAsia="標楷體" w:hAnsi="標楷體" w:cs="Times New Roman" w:hint="eastAsia"/>
        </w:rPr>
        <w:t>三十四號「金融商品之會計處理準則」及第三十六號「金融商品之表達與揭露」施行，</w:t>
      </w:r>
      <w:r>
        <w:rPr>
          <w:rFonts w:ascii="標楷體" w:eastAsia="標楷體" w:hAnsi="標楷體" w:hint="eastAsia"/>
        </w:rPr>
        <w:t>於95年度</w:t>
      </w:r>
      <w:r w:rsidRPr="00717D5C">
        <w:rPr>
          <w:rFonts w:ascii="標楷體" w:eastAsia="標楷體" w:hAnsi="標楷體" w:cs="Times New Roman" w:hint="eastAsia"/>
        </w:rPr>
        <w:t>新增資產類之累積減損、減損迴轉利益及減損損失等會計</w:t>
      </w:r>
      <w:r>
        <w:rPr>
          <w:rFonts w:ascii="標楷體" w:eastAsia="標楷體" w:hAnsi="標楷體" w:hint="eastAsia"/>
        </w:rPr>
        <w:t>項目</w:t>
      </w:r>
      <w:r w:rsidRPr="00717D5C">
        <w:rPr>
          <w:rFonts w:ascii="標楷體" w:eastAsia="標楷體" w:hAnsi="標楷體" w:cs="Times New Roman" w:hint="eastAsia"/>
        </w:rPr>
        <w:t>。</w:t>
      </w:r>
    </w:p>
  </w:footnote>
  <w:footnote w:id="4">
    <w:p w:rsidR="00562F9F" w:rsidRPr="00FE4CB6" w:rsidRDefault="00562F9F" w:rsidP="00FE4CB6">
      <w:pPr>
        <w:pStyle w:val="a5"/>
        <w:spacing w:before="180" w:after="180"/>
        <w:rPr>
          <w:rFonts w:ascii="標楷體" w:eastAsia="標楷體" w:hAnsi="標楷體"/>
        </w:rPr>
      </w:pPr>
      <w:r w:rsidRPr="00E83285">
        <w:rPr>
          <w:rStyle w:val="a7"/>
          <w:rFonts w:ascii="標楷體" w:eastAsia="標楷體" w:hAnsi="標楷體"/>
        </w:rPr>
        <w:footnoteRef/>
      </w:r>
      <w:r w:rsidRPr="00E83285">
        <w:rPr>
          <w:rFonts w:ascii="標楷體" w:eastAsia="標楷體" w:hAnsi="標楷體"/>
        </w:rPr>
        <w:t xml:space="preserve"> </w:t>
      </w:r>
      <w:r>
        <w:rPr>
          <w:rFonts w:ascii="標楷體" w:eastAsia="標楷體" w:hAnsi="標楷體" w:hint="eastAsia"/>
        </w:rPr>
        <w:t>自IFRSs後，慣稱之「會計科目」已統一改稱為「會計項目」。</w:t>
      </w:r>
      <w:proofErr w:type="gramStart"/>
      <w:r w:rsidRPr="00E83285">
        <w:rPr>
          <w:rFonts w:ascii="標楷體" w:eastAsia="標楷體" w:hAnsi="標楷體" w:hint="eastAsia"/>
        </w:rPr>
        <w:t>採</w:t>
      </w:r>
      <w:proofErr w:type="gramEnd"/>
      <w:r>
        <w:rPr>
          <w:rFonts w:ascii="標楷體" w:eastAsia="標楷體" w:hAnsi="標楷體" w:hint="eastAsia"/>
        </w:rPr>
        <w:t>ROC GAAP</w:t>
      </w:r>
      <w:r w:rsidRPr="00E83285">
        <w:rPr>
          <w:rFonts w:ascii="標楷體" w:eastAsia="標楷體" w:hAnsi="標楷體" w:hint="eastAsia"/>
        </w:rPr>
        <w:t>與IFRSs之企業會計項目並不相同，</w:t>
      </w:r>
      <w:proofErr w:type="gramStart"/>
      <w:r w:rsidRPr="00E83285">
        <w:rPr>
          <w:rFonts w:ascii="標楷體" w:eastAsia="標楷體" w:hAnsi="標楷體" w:hint="eastAsia"/>
        </w:rPr>
        <w:t>故分群</w:t>
      </w:r>
      <w:proofErr w:type="gramEnd"/>
      <w:r w:rsidRPr="00E83285">
        <w:rPr>
          <w:rFonts w:ascii="標楷體" w:eastAsia="標楷體" w:hAnsi="標楷體" w:hint="eastAsia"/>
        </w:rPr>
        <w:t>統計</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8015E9">
    <w:pPr>
      <w:pStyle w:val="aa"/>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8015E9">
    <w:pPr>
      <w:pStyle w:val="aa"/>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F" w:rsidRDefault="00562F9F" w:rsidP="008015E9">
    <w:pPr>
      <w:pStyle w:val="aa"/>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CDC"/>
    <w:multiLevelType w:val="hybridMultilevel"/>
    <w:tmpl w:val="9F9EDF86"/>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FA44C9A"/>
    <w:multiLevelType w:val="hybridMultilevel"/>
    <w:tmpl w:val="EEF4896C"/>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B95E1D"/>
    <w:multiLevelType w:val="hybridMultilevel"/>
    <w:tmpl w:val="5E2C44A4"/>
    <w:lvl w:ilvl="0" w:tplc="7D6AB612">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5847910"/>
    <w:multiLevelType w:val="hybridMultilevel"/>
    <w:tmpl w:val="4AD42672"/>
    <w:lvl w:ilvl="0" w:tplc="7D6AB612">
      <w:start w:val="1"/>
      <w:numFmt w:val="taiwaneseCountingThousand"/>
      <w:lvlText w:val="(%1)"/>
      <w:lvlJc w:val="left"/>
      <w:pPr>
        <w:ind w:left="1200" w:hanging="480"/>
      </w:pPr>
      <w:rPr>
        <w:rFonts w:hint="eastAsia"/>
        <w:sz w:val="32"/>
        <w:szCs w:val="32"/>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6814E78"/>
    <w:multiLevelType w:val="hybridMultilevel"/>
    <w:tmpl w:val="1FB004AA"/>
    <w:lvl w:ilvl="0" w:tplc="2BE0BAD4">
      <w:start w:val="1"/>
      <w:numFmt w:val="taiwaneseCountingThousand"/>
      <w:lvlText w:val="%1、"/>
      <w:lvlJc w:val="left"/>
      <w:pPr>
        <w:ind w:left="1200" w:hanging="480"/>
      </w:pPr>
      <w:rPr>
        <w:rFonts w:ascii="標楷體" w:eastAsia="標楷體" w:hAnsi="標楷體"/>
        <w:sz w:val="32"/>
        <w:szCs w:val="32"/>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7B32C86"/>
    <w:multiLevelType w:val="hybridMultilevel"/>
    <w:tmpl w:val="AEEE7ABC"/>
    <w:lvl w:ilvl="0" w:tplc="EC46D52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DA84EB5"/>
    <w:multiLevelType w:val="hybridMultilevel"/>
    <w:tmpl w:val="77B604C2"/>
    <w:lvl w:ilvl="0" w:tplc="7D6AB61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063712D"/>
    <w:multiLevelType w:val="hybridMultilevel"/>
    <w:tmpl w:val="97007C72"/>
    <w:lvl w:ilvl="0" w:tplc="04090017">
      <w:start w:val="1"/>
      <w:numFmt w:val="ideographLegalTraditional"/>
      <w:lvlText w:val="%1、"/>
      <w:lvlJc w:val="left"/>
      <w:pPr>
        <w:ind w:left="720" w:hanging="720"/>
      </w:pPr>
      <w:rPr>
        <w:rFonts w:hint="default"/>
        <w:color w:val="auto"/>
      </w:rPr>
    </w:lvl>
    <w:lvl w:ilvl="1" w:tplc="BD7CAF16">
      <w:start w:val="1"/>
      <w:numFmt w:val="taiwaneseCountingThousand"/>
      <w:lvlText w:val="%2、"/>
      <w:lvlJc w:val="left"/>
      <w:pPr>
        <w:ind w:left="1200" w:hanging="720"/>
      </w:pPr>
      <w:rPr>
        <w:rFonts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244835"/>
    <w:multiLevelType w:val="hybridMultilevel"/>
    <w:tmpl w:val="DDCA481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59811B5"/>
    <w:multiLevelType w:val="hybridMultilevel"/>
    <w:tmpl w:val="87CAB220"/>
    <w:lvl w:ilvl="0" w:tplc="04090015">
      <w:start w:val="1"/>
      <w:numFmt w:val="taiwaneseCountingThousand"/>
      <w:lvlText w:val="%1、"/>
      <w:lvlJc w:val="left"/>
      <w:pPr>
        <w:ind w:left="1440" w:hanging="480"/>
      </w:pPr>
      <w:rPr>
        <w:sz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CAB11DA"/>
    <w:multiLevelType w:val="hybridMultilevel"/>
    <w:tmpl w:val="0D92E9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F860146"/>
    <w:multiLevelType w:val="hybridMultilevel"/>
    <w:tmpl w:val="E59E7854"/>
    <w:lvl w:ilvl="0" w:tplc="0409000F">
      <w:start w:val="1"/>
      <w:numFmt w:val="decimal"/>
      <w:lvlText w:val="%1."/>
      <w:lvlJc w:val="left"/>
      <w:pPr>
        <w:ind w:left="1200" w:hanging="480"/>
      </w:pPr>
      <w:rPr>
        <w:rFonts w:hint="eastAsia"/>
        <w:sz w:val="32"/>
        <w:szCs w:val="32"/>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CE34DB4"/>
    <w:multiLevelType w:val="hybridMultilevel"/>
    <w:tmpl w:val="77B604C2"/>
    <w:lvl w:ilvl="0" w:tplc="7D6AB61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6776637F"/>
    <w:multiLevelType w:val="hybridMultilevel"/>
    <w:tmpl w:val="AEEE7ABC"/>
    <w:lvl w:ilvl="0" w:tplc="EC46D52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8A96CC6"/>
    <w:multiLevelType w:val="hybridMultilevel"/>
    <w:tmpl w:val="2F74F0CC"/>
    <w:lvl w:ilvl="0" w:tplc="7D6AB61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6F251E7F"/>
    <w:multiLevelType w:val="hybridMultilevel"/>
    <w:tmpl w:val="9F9EDF86"/>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77CB7634"/>
    <w:multiLevelType w:val="hybridMultilevel"/>
    <w:tmpl w:val="E59E7854"/>
    <w:lvl w:ilvl="0" w:tplc="0409000F">
      <w:start w:val="1"/>
      <w:numFmt w:val="decimal"/>
      <w:lvlText w:val="%1."/>
      <w:lvlJc w:val="left"/>
      <w:pPr>
        <w:ind w:left="1200" w:hanging="480"/>
      </w:pPr>
      <w:rPr>
        <w:rFonts w:hint="eastAsia"/>
        <w:sz w:val="32"/>
        <w:szCs w:val="32"/>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795B71D4"/>
    <w:multiLevelType w:val="hybridMultilevel"/>
    <w:tmpl w:val="361400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BBF2B03"/>
    <w:multiLevelType w:val="hybridMultilevel"/>
    <w:tmpl w:val="85ACB56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7CFA6827"/>
    <w:multiLevelType w:val="hybridMultilevel"/>
    <w:tmpl w:val="AEEE7ABC"/>
    <w:lvl w:ilvl="0" w:tplc="EC46D52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7E3E6AD4"/>
    <w:multiLevelType w:val="hybridMultilevel"/>
    <w:tmpl w:val="2F74F0CC"/>
    <w:lvl w:ilvl="0" w:tplc="7D6AB61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7F7C7DC2"/>
    <w:multiLevelType w:val="hybridMultilevel"/>
    <w:tmpl w:val="5E2C44A4"/>
    <w:lvl w:ilvl="0" w:tplc="7D6AB612">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21"/>
  </w:num>
  <w:num w:numId="3">
    <w:abstractNumId w:val="0"/>
  </w:num>
  <w:num w:numId="4">
    <w:abstractNumId w:val="5"/>
  </w:num>
  <w:num w:numId="5">
    <w:abstractNumId w:val="12"/>
  </w:num>
  <w:num w:numId="6">
    <w:abstractNumId w:val="13"/>
  </w:num>
  <w:num w:numId="7">
    <w:abstractNumId w:val="6"/>
  </w:num>
  <w:num w:numId="8">
    <w:abstractNumId w:val="20"/>
  </w:num>
  <w:num w:numId="9">
    <w:abstractNumId w:val="2"/>
  </w:num>
  <w:num w:numId="10">
    <w:abstractNumId w:val="15"/>
  </w:num>
  <w:num w:numId="11">
    <w:abstractNumId w:val="1"/>
  </w:num>
  <w:num w:numId="12">
    <w:abstractNumId w:val="4"/>
  </w:num>
  <w:num w:numId="13">
    <w:abstractNumId w:val="8"/>
  </w:num>
  <w:num w:numId="14">
    <w:abstractNumId w:val="18"/>
  </w:num>
  <w:num w:numId="15">
    <w:abstractNumId w:val="9"/>
  </w:num>
  <w:num w:numId="16">
    <w:abstractNumId w:val="17"/>
  </w:num>
  <w:num w:numId="17">
    <w:abstractNumId w:val="10"/>
  </w:num>
  <w:num w:numId="18">
    <w:abstractNumId w:val="3"/>
  </w:num>
  <w:num w:numId="19">
    <w:abstractNumId w:val="16"/>
  </w:num>
  <w:num w:numId="20">
    <w:abstractNumId w:val="11"/>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81A"/>
    <w:rsid w:val="00011A6B"/>
    <w:rsid w:val="000348A7"/>
    <w:rsid w:val="00062AEF"/>
    <w:rsid w:val="00094814"/>
    <w:rsid w:val="000B5E4D"/>
    <w:rsid w:val="000E4198"/>
    <w:rsid w:val="000F14F5"/>
    <w:rsid w:val="00121103"/>
    <w:rsid w:val="00123ED5"/>
    <w:rsid w:val="0012731C"/>
    <w:rsid w:val="00131AB3"/>
    <w:rsid w:val="00144034"/>
    <w:rsid w:val="001A0D68"/>
    <w:rsid w:val="001C230F"/>
    <w:rsid w:val="001D530B"/>
    <w:rsid w:val="00205272"/>
    <w:rsid w:val="00224930"/>
    <w:rsid w:val="00233231"/>
    <w:rsid w:val="0023652E"/>
    <w:rsid w:val="00247627"/>
    <w:rsid w:val="0026495E"/>
    <w:rsid w:val="002860BB"/>
    <w:rsid w:val="002F48F3"/>
    <w:rsid w:val="00333A1C"/>
    <w:rsid w:val="003441D7"/>
    <w:rsid w:val="00367FD2"/>
    <w:rsid w:val="003A0E0C"/>
    <w:rsid w:val="003A484B"/>
    <w:rsid w:val="003B59B1"/>
    <w:rsid w:val="003C1155"/>
    <w:rsid w:val="003E50BA"/>
    <w:rsid w:val="00413805"/>
    <w:rsid w:val="00427463"/>
    <w:rsid w:val="00431B8D"/>
    <w:rsid w:val="00466914"/>
    <w:rsid w:val="0047271B"/>
    <w:rsid w:val="004A0142"/>
    <w:rsid w:val="004A3D01"/>
    <w:rsid w:val="004E2BC5"/>
    <w:rsid w:val="004E2EA1"/>
    <w:rsid w:val="00506D2B"/>
    <w:rsid w:val="00546169"/>
    <w:rsid w:val="00562F9F"/>
    <w:rsid w:val="005D6D49"/>
    <w:rsid w:val="005F347F"/>
    <w:rsid w:val="00624D1A"/>
    <w:rsid w:val="00640EA0"/>
    <w:rsid w:val="00642A08"/>
    <w:rsid w:val="0066409B"/>
    <w:rsid w:val="006654E8"/>
    <w:rsid w:val="00671921"/>
    <w:rsid w:val="006836C7"/>
    <w:rsid w:val="006A27F7"/>
    <w:rsid w:val="006B6D0C"/>
    <w:rsid w:val="006C232D"/>
    <w:rsid w:val="006C6520"/>
    <w:rsid w:val="00716A12"/>
    <w:rsid w:val="00751169"/>
    <w:rsid w:val="00777C0C"/>
    <w:rsid w:val="00782CA7"/>
    <w:rsid w:val="00795596"/>
    <w:rsid w:val="007F2180"/>
    <w:rsid w:val="008015E9"/>
    <w:rsid w:val="00802F70"/>
    <w:rsid w:val="0080359B"/>
    <w:rsid w:val="00810F53"/>
    <w:rsid w:val="00814C66"/>
    <w:rsid w:val="00830326"/>
    <w:rsid w:val="00831074"/>
    <w:rsid w:val="0083226A"/>
    <w:rsid w:val="00840E9E"/>
    <w:rsid w:val="00883300"/>
    <w:rsid w:val="00885E86"/>
    <w:rsid w:val="0089598E"/>
    <w:rsid w:val="008A3A60"/>
    <w:rsid w:val="008A44AE"/>
    <w:rsid w:val="008D410F"/>
    <w:rsid w:val="008E7180"/>
    <w:rsid w:val="008F18A8"/>
    <w:rsid w:val="009134D1"/>
    <w:rsid w:val="00917837"/>
    <w:rsid w:val="00921223"/>
    <w:rsid w:val="009654EC"/>
    <w:rsid w:val="00967616"/>
    <w:rsid w:val="009733AB"/>
    <w:rsid w:val="009E4E94"/>
    <w:rsid w:val="009F57BC"/>
    <w:rsid w:val="00A010E2"/>
    <w:rsid w:val="00A71DF2"/>
    <w:rsid w:val="00A866B3"/>
    <w:rsid w:val="00AB34FE"/>
    <w:rsid w:val="00AB7BE8"/>
    <w:rsid w:val="00AC4434"/>
    <w:rsid w:val="00AD68EA"/>
    <w:rsid w:val="00AE3A6C"/>
    <w:rsid w:val="00B32EB2"/>
    <w:rsid w:val="00B5481A"/>
    <w:rsid w:val="00B644BC"/>
    <w:rsid w:val="00B95B46"/>
    <w:rsid w:val="00BA4A2D"/>
    <w:rsid w:val="00BA703A"/>
    <w:rsid w:val="00BC47FB"/>
    <w:rsid w:val="00BF6F54"/>
    <w:rsid w:val="00C146D0"/>
    <w:rsid w:val="00C15D6F"/>
    <w:rsid w:val="00C2253A"/>
    <w:rsid w:val="00C82598"/>
    <w:rsid w:val="00CA1922"/>
    <w:rsid w:val="00CC1F29"/>
    <w:rsid w:val="00CD4AF5"/>
    <w:rsid w:val="00D03E33"/>
    <w:rsid w:val="00D43008"/>
    <w:rsid w:val="00D479EA"/>
    <w:rsid w:val="00D52F07"/>
    <w:rsid w:val="00D556BB"/>
    <w:rsid w:val="00D820D9"/>
    <w:rsid w:val="00D87C0F"/>
    <w:rsid w:val="00DB03BB"/>
    <w:rsid w:val="00DB2E05"/>
    <w:rsid w:val="00DC38F0"/>
    <w:rsid w:val="00DC645C"/>
    <w:rsid w:val="00DE0A26"/>
    <w:rsid w:val="00DE1914"/>
    <w:rsid w:val="00DF3BC7"/>
    <w:rsid w:val="00E15852"/>
    <w:rsid w:val="00E56211"/>
    <w:rsid w:val="00E83285"/>
    <w:rsid w:val="00E85DFA"/>
    <w:rsid w:val="00E86C27"/>
    <w:rsid w:val="00EB0D93"/>
    <w:rsid w:val="00EB5148"/>
    <w:rsid w:val="00EF613D"/>
    <w:rsid w:val="00F05C49"/>
    <w:rsid w:val="00F24ECF"/>
    <w:rsid w:val="00F25387"/>
    <w:rsid w:val="00FD28E7"/>
    <w:rsid w:val="00FE4C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D0"/>
    <w:pPr>
      <w:widowControl w:val="0"/>
    </w:pPr>
  </w:style>
  <w:style w:type="paragraph" w:styleId="1">
    <w:name w:val="heading 1"/>
    <w:basedOn w:val="a"/>
    <w:next w:val="a"/>
    <w:link w:val="10"/>
    <w:uiPriority w:val="9"/>
    <w:qFormat/>
    <w:rsid w:val="00814C6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08"/>
    <w:pPr>
      <w:ind w:leftChars="200" w:left="480"/>
    </w:pPr>
  </w:style>
  <w:style w:type="table" w:styleId="a4">
    <w:name w:val="Table Grid"/>
    <w:basedOn w:val="a1"/>
    <w:rsid w:val="00642A08"/>
    <w:pPr>
      <w:spacing w:beforeLines="0" w:afterLines="0" w:line="400" w:lineRule="exac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CA1922"/>
    <w:pPr>
      <w:snapToGrid w:val="0"/>
    </w:pPr>
    <w:rPr>
      <w:sz w:val="20"/>
      <w:szCs w:val="20"/>
    </w:rPr>
  </w:style>
  <w:style w:type="character" w:customStyle="1" w:styleId="a6">
    <w:name w:val="註腳文字 字元"/>
    <w:basedOn w:val="a0"/>
    <w:link w:val="a5"/>
    <w:uiPriority w:val="99"/>
    <w:semiHidden/>
    <w:rsid w:val="00CA1922"/>
    <w:rPr>
      <w:sz w:val="20"/>
      <w:szCs w:val="20"/>
    </w:rPr>
  </w:style>
  <w:style w:type="character" w:styleId="a7">
    <w:name w:val="footnote reference"/>
    <w:basedOn w:val="a0"/>
    <w:uiPriority w:val="99"/>
    <w:semiHidden/>
    <w:unhideWhenUsed/>
    <w:rsid w:val="00CA1922"/>
    <w:rPr>
      <w:vertAlign w:val="superscript"/>
    </w:rPr>
  </w:style>
  <w:style w:type="character" w:styleId="a8">
    <w:name w:val="Hyperlink"/>
    <w:basedOn w:val="a0"/>
    <w:uiPriority w:val="99"/>
    <w:unhideWhenUsed/>
    <w:rsid w:val="00DF3BC7"/>
    <w:rPr>
      <w:color w:val="0000FF"/>
      <w:u w:val="single"/>
    </w:rPr>
  </w:style>
  <w:style w:type="paragraph" w:customStyle="1" w:styleId="a9">
    <w:name w:val="小標"/>
    <w:basedOn w:val="a"/>
    <w:rsid w:val="003C1155"/>
    <w:pPr>
      <w:spacing w:line="400" w:lineRule="exact"/>
      <w:jc w:val="both"/>
    </w:pPr>
    <w:rPr>
      <w:rFonts w:ascii="Times New Roman" w:eastAsia="文鼎粗黑" w:hAnsi="Times New Roman" w:cs="Times New Roman"/>
      <w:sz w:val="26"/>
      <w:szCs w:val="24"/>
    </w:rPr>
  </w:style>
  <w:style w:type="paragraph" w:styleId="aa">
    <w:name w:val="header"/>
    <w:basedOn w:val="a"/>
    <w:link w:val="ab"/>
    <w:uiPriority w:val="99"/>
    <w:semiHidden/>
    <w:unhideWhenUsed/>
    <w:rsid w:val="008D410F"/>
    <w:pPr>
      <w:tabs>
        <w:tab w:val="center" w:pos="4153"/>
        <w:tab w:val="right" w:pos="8306"/>
      </w:tabs>
      <w:snapToGrid w:val="0"/>
    </w:pPr>
    <w:rPr>
      <w:sz w:val="20"/>
      <w:szCs w:val="20"/>
    </w:rPr>
  </w:style>
  <w:style w:type="character" w:customStyle="1" w:styleId="ab">
    <w:name w:val="頁首 字元"/>
    <w:basedOn w:val="a0"/>
    <w:link w:val="aa"/>
    <w:uiPriority w:val="99"/>
    <w:semiHidden/>
    <w:rsid w:val="008D410F"/>
    <w:rPr>
      <w:sz w:val="20"/>
      <w:szCs w:val="20"/>
    </w:rPr>
  </w:style>
  <w:style w:type="paragraph" w:styleId="ac">
    <w:name w:val="footer"/>
    <w:basedOn w:val="a"/>
    <w:link w:val="ad"/>
    <w:uiPriority w:val="99"/>
    <w:unhideWhenUsed/>
    <w:rsid w:val="008D410F"/>
    <w:pPr>
      <w:tabs>
        <w:tab w:val="center" w:pos="4153"/>
        <w:tab w:val="right" w:pos="8306"/>
      </w:tabs>
      <w:snapToGrid w:val="0"/>
    </w:pPr>
    <w:rPr>
      <w:sz w:val="20"/>
      <w:szCs w:val="20"/>
    </w:rPr>
  </w:style>
  <w:style w:type="character" w:customStyle="1" w:styleId="ad">
    <w:name w:val="頁尾 字元"/>
    <w:basedOn w:val="a0"/>
    <w:link w:val="ac"/>
    <w:uiPriority w:val="99"/>
    <w:rsid w:val="008D410F"/>
    <w:rPr>
      <w:sz w:val="20"/>
      <w:szCs w:val="20"/>
    </w:rPr>
  </w:style>
  <w:style w:type="character" w:customStyle="1" w:styleId="10">
    <w:name w:val="標題 1 字元"/>
    <w:basedOn w:val="a0"/>
    <w:link w:val="1"/>
    <w:uiPriority w:val="9"/>
    <w:rsid w:val="00814C66"/>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814C66"/>
    <w:pPr>
      <w:keepLines/>
      <w:widowControl/>
      <w:spacing w:beforeLines="0" w:afterLines="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814C66"/>
    <w:pPr>
      <w:widowControl/>
      <w:spacing w:beforeLines="0" w:afterLines="0" w:line="276" w:lineRule="auto"/>
      <w:ind w:left="220"/>
    </w:pPr>
    <w:rPr>
      <w:kern w:val="0"/>
      <w:sz w:val="22"/>
    </w:rPr>
  </w:style>
  <w:style w:type="paragraph" w:styleId="11">
    <w:name w:val="toc 1"/>
    <w:basedOn w:val="a"/>
    <w:next w:val="a"/>
    <w:autoRedefine/>
    <w:uiPriority w:val="39"/>
    <w:unhideWhenUsed/>
    <w:qFormat/>
    <w:rsid w:val="00814C66"/>
    <w:pPr>
      <w:widowControl/>
      <w:spacing w:beforeLines="0" w:afterLines="0" w:line="276" w:lineRule="auto"/>
    </w:pPr>
    <w:rPr>
      <w:kern w:val="0"/>
      <w:sz w:val="22"/>
    </w:rPr>
  </w:style>
  <w:style w:type="paragraph" w:styleId="3">
    <w:name w:val="toc 3"/>
    <w:basedOn w:val="a"/>
    <w:next w:val="a"/>
    <w:autoRedefine/>
    <w:uiPriority w:val="39"/>
    <w:unhideWhenUsed/>
    <w:qFormat/>
    <w:rsid w:val="00814C66"/>
    <w:pPr>
      <w:widowControl/>
      <w:spacing w:beforeLines="0" w:afterLines="0" w:line="276" w:lineRule="auto"/>
      <w:ind w:left="440"/>
    </w:pPr>
    <w:rPr>
      <w:kern w:val="0"/>
      <w:sz w:val="22"/>
    </w:rPr>
  </w:style>
  <w:style w:type="paragraph" w:styleId="af">
    <w:name w:val="Balloon Text"/>
    <w:basedOn w:val="a"/>
    <w:link w:val="af0"/>
    <w:uiPriority w:val="99"/>
    <w:semiHidden/>
    <w:unhideWhenUsed/>
    <w:rsid w:val="00814C6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14C6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5740883">
      <w:bodyDiv w:val="1"/>
      <w:marLeft w:val="0"/>
      <w:marRight w:val="0"/>
      <w:marTop w:val="0"/>
      <w:marBottom w:val="0"/>
      <w:divBdr>
        <w:top w:val="none" w:sz="0" w:space="0" w:color="auto"/>
        <w:left w:val="none" w:sz="0" w:space="0" w:color="auto"/>
        <w:bottom w:val="none" w:sz="0" w:space="0" w:color="auto"/>
        <w:right w:val="none" w:sz="0" w:space="0" w:color="auto"/>
      </w:divBdr>
      <w:divsChild>
        <w:div w:id="455026733">
          <w:marLeft w:val="3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www.sfb.gov.tw/ch/home.jsp?id=528&amp;parentpath=0,2"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hyperlink" Target="http://www.sfb.gov.tw/ch/home.jsp?id=528&amp;parentpath=0,2" TargetMode="External"/><Relationship Id="rId2" Type="http://schemas.openxmlformats.org/officeDocument/2006/relationships/numbering" Target="numbering.xml"/><Relationship Id="rId16" Type="http://schemas.openxmlformats.org/officeDocument/2006/relationships/hyperlink" Target="http://www.sfb.gov.tw/ch/home.jsp?id=528&amp;parentpath=0,2" TargetMode="Externa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fb.gov.tw/ch/home.jsp?id=528&amp;parentpath=0,2"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fb.gov.tw/ch/home.jsp?id=528&amp;parentpath=0,2"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10.bin"/></Relationships>
</file>

<file path=word/_rels/footnotes.xml.rels><?xml version="1.0" encoding="UTF-8" standalone="yes"?>
<Relationships xmlns="http://schemas.openxmlformats.org/package/2006/relationships"><Relationship Id="rId1" Type="http://schemas.openxmlformats.org/officeDocument/2006/relationships/hyperlink" Target="http://law.moj.gov.tw/LawClass/LawContentIf.aspx?PCODE=G03801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6F988-99CA-4774-B3F4-724F49F7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8</cp:revision>
  <dcterms:created xsi:type="dcterms:W3CDTF">2015-10-07T08:25:00Z</dcterms:created>
  <dcterms:modified xsi:type="dcterms:W3CDTF">2015-10-07T08:30:00Z</dcterms:modified>
</cp:coreProperties>
</file>